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581D" w14:textId="3A2FA443" w:rsidR="00980EB3" w:rsidRPr="00021550" w:rsidRDefault="006B4BA1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 xml:space="preserve">EXCELENTÍSSIMO SENHOR </w:t>
      </w:r>
      <w:r w:rsidR="00116016">
        <w:rPr>
          <w:rFonts w:ascii="Palatino Linotype" w:hAnsi="Palatino Linotype"/>
          <w:b/>
          <w:bCs/>
          <w:color w:val="000000" w:themeColor="text1"/>
        </w:rPr>
        <w:t xml:space="preserve">MINISTRO </w:t>
      </w:r>
      <w:r>
        <w:rPr>
          <w:rFonts w:ascii="Palatino Linotype" w:hAnsi="Palatino Linotype"/>
          <w:b/>
          <w:bCs/>
          <w:color w:val="000000" w:themeColor="text1"/>
        </w:rPr>
        <w:t>PRESIDENTE DO TRIBUNAL DE CONTAS DA UNIÃO</w:t>
      </w:r>
    </w:p>
    <w:p w14:paraId="5D55F422" w14:textId="77777777" w:rsidR="00980EB3" w:rsidRPr="00021550" w:rsidRDefault="00980EB3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648A42F2" w14:textId="77777777" w:rsidR="00980EB3" w:rsidRPr="00021550" w:rsidRDefault="00980EB3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08E769A8" w14:textId="77777777" w:rsidR="00980EB3" w:rsidRPr="00021550" w:rsidRDefault="00980EB3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628872A8" w14:textId="6747ED36" w:rsidR="00B0094C" w:rsidRDefault="00B0094C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4D6423B5" w14:textId="15BAB099" w:rsidR="00021550" w:rsidRDefault="00021550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361588E4" w14:textId="1BFCFAF4" w:rsidR="00021550" w:rsidRDefault="00487174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Ref. TC 030.709/2022-9</w:t>
      </w:r>
    </w:p>
    <w:p w14:paraId="4A116E92" w14:textId="50BD73AF" w:rsidR="00021550" w:rsidRDefault="00021550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5F47B47C" w14:textId="77777777" w:rsidR="00157AD2" w:rsidRDefault="00157AD2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4EE4B3CB" w14:textId="77777777" w:rsidR="00116016" w:rsidRDefault="00116016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5FCBB855" w14:textId="77777777" w:rsidR="00116016" w:rsidRPr="00021550" w:rsidRDefault="00116016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46477480" w14:textId="77777777" w:rsidR="00B0094C" w:rsidRPr="00021550" w:rsidRDefault="00B0094C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26387E33" w14:textId="6938CA6E" w:rsidR="00980EB3" w:rsidRPr="00021550" w:rsidRDefault="00116016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b/>
          <w:bCs/>
          <w:color w:val="000000" w:themeColor="text1"/>
        </w:rPr>
        <w:t xml:space="preserve"> </w:t>
      </w:r>
      <w:r>
        <w:rPr>
          <w:rFonts w:ascii="Palatino Linotype" w:hAnsi="Palatino Linotype"/>
          <w:b/>
          <w:bCs/>
          <w:color w:val="000000" w:themeColor="text1"/>
        </w:rPr>
        <w:tab/>
      </w:r>
      <w:r>
        <w:rPr>
          <w:rFonts w:ascii="Palatino Linotype" w:hAnsi="Palatino Linotype"/>
          <w:b/>
          <w:bCs/>
          <w:color w:val="000000" w:themeColor="text1"/>
        </w:rPr>
        <w:tab/>
      </w:r>
      <w:r w:rsidR="00334B2D">
        <w:rPr>
          <w:rFonts w:ascii="Palatino Linotype" w:hAnsi="Palatino Linotype"/>
          <w:b/>
          <w:bCs/>
          <w:color w:val="000000" w:themeColor="text1"/>
        </w:rPr>
        <w:t xml:space="preserve"> </w:t>
      </w:r>
      <w:r w:rsidR="00334B2D">
        <w:rPr>
          <w:rFonts w:ascii="Palatino Linotype" w:hAnsi="Palatino Linotype"/>
          <w:b/>
          <w:bCs/>
          <w:color w:val="000000" w:themeColor="text1"/>
        </w:rPr>
        <w:tab/>
      </w:r>
      <w:r w:rsidR="00980EB3" w:rsidRPr="00021550">
        <w:rPr>
          <w:rFonts w:ascii="Palatino Linotype" w:hAnsi="Palatino Linotype"/>
          <w:b/>
          <w:bCs/>
          <w:color w:val="000000" w:themeColor="text1"/>
        </w:rPr>
        <w:t xml:space="preserve">O MUNICÍPIO DE </w:t>
      </w:r>
      <w:r w:rsidR="00630751" w:rsidRPr="00630751">
        <w:rPr>
          <w:rFonts w:ascii="Palatino Linotype" w:hAnsi="Palatino Linotype"/>
          <w:b/>
          <w:bCs/>
        </w:rPr>
        <w:t>xxxxxxx</w:t>
      </w:r>
      <w:r w:rsidR="00980EB3" w:rsidRPr="00630751">
        <w:rPr>
          <w:rFonts w:ascii="Palatino Linotype" w:hAnsi="Palatino Linotype"/>
          <w:b/>
          <w:bCs/>
        </w:rPr>
        <w:t>/</w:t>
      </w:r>
      <w:r w:rsidR="00F36EEE">
        <w:rPr>
          <w:rFonts w:ascii="Palatino Linotype" w:hAnsi="Palatino Linotype"/>
          <w:b/>
          <w:bCs/>
          <w:color w:val="000000" w:themeColor="text1"/>
        </w:rPr>
        <w:t>P</w:t>
      </w:r>
      <w:r w:rsidR="00980EB3" w:rsidRPr="00021550">
        <w:rPr>
          <w:rFonts w:ascii="Palatino Linotype" w:hAnsi="Palatino Linotype"/>
          <w:b/>
          <w:bCs/>
          <w:color w:val="000000" w:themeColor="text1"/>
        </w:rPr>
        <w:t>A</w:t>
      </w:r>
      <w:r w:rsidR="00980EB3" w:rsidRPr="00021550">
        <w:rPr>
          <w:rFonts w:ascii="Palatino Linotype" w:hAnsi="Palatino Linotype"/>
          <w:color w:val="000000" w:themeColor="text1"/>
        </w:rPr>
        <w:t xml:space="preserve">, pessoa </w:t>
      </w:r>
      <w:r w:rsidR="0038443E" w:rsidRPr="00021550">
        <w:rPr>
          <w:rFonts w:ascii="Palatino Linotype" w:hAnsi="Palatino Linotype"/>
          <w:color w:val="000000" w:themeColor="text1"/>
        </w:rPr>
        <w:t>jurídica</w:t>
      </w:r>
      <w:r w:rsidR="00980EB3" w:rsidRPr="00021550">
        <w:rPr>
          <w:rFonts w:ascii="Palatino Linotype" w:hAnsi="Palatino Linotype"/>
          <w:color w:val="000000" w:themeColor="text1"/>
        </w:rPr>
        <w:t xml:space="preserve"> de direito </w:t>
      </w:r>
      <w:r w:rsidR="0038443E" w:rsidRPr="00021550">
        <w:rPr>
          <w:rFonts w:ascii="Palatino Linotype" w:hAnsi="Palatino Linotype"/>
          <w:color w:val="000000" w:themeColor="text1"/>
        </w:rPr>
        <w:t>público</w:t>
      </w:r>
      <w:r w:rsidR="00980EB3" w:rsidRPr="00021550">
        <w:rPr>
          <w:rFonts w:ascii="Palatino Linotype" w:hAnsi="Palatino Linotype"/>
          <w:color w:val="000000" w:themeColor="text1"/>
        </w:rPr>
        <w:t xml:space="preserve"> interno, com sede na </w:t>
      </w:r>
      <w:r w:rsidR="004D3772">
        <w:rPr>
          <w:rFonts w:ascii="Palatino Linotype" w:hAnsi="Palatino Linotype"/>
          <w:color w:val="000000" w:themeColor="text1"/>
        </w:rPr>
        <w:t>R</w:t>
      </w:r>
      <w:r w:rsidR="00980EB3" w:rsidRPr="00021550">
        <w:rPr>
          <w:rFonts w:ascii="Palatino Linotype" w:hAnsi="Palatino Linotype"/>
          <w:color w:val="000000" w:themeColor="text1"/>
        </w:rPr>
        <w:t xml:space="preserve">ua </w:t>
      </w:r>
      <w:r w:rsidR="00630751">
        <w:rPr>
          <w:rFonts w:ascii="Palatino Linotype" w:hAnsi="Palatino Linotype"/>
          <w:color w:val="000000" w:themeColor="text1"/>
        </w:rPr>
        <w:t>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s/n </w:t>
      </w:r>
      <w:r w:rsidR="004D3772">
        <w:rPr>
          <w:rFonts w:ascii="Palatino Linotype" w:hAnsi="Palatino Linotype"/>
          <w:color w:val="000000" w:themeColor="text1"/>
        </w:rPr>
        <w:t>–</w:t>
      </w:r>
      <w:r w:rsidR="00980EB3" w:rsidRPr="00021550">
        <w:rPr>
          <w:rFonts w:ascii="Palatino Linotype" w:hAnsi="Palatino Linotype"/>
          <w:color w:val="000000" w:themeColor="text1"/>
        </w:rPr>
        <w:t xml:space="preserve"> </w:t>
      </w:r>
      <w:r w:rsidR="004D3772">
        <w:rPr>
          <w:rFonts w:ascii="Palatino Linotype" w:hAnsi="Palatino Linotype"/>
          <w:color w:val="000000" w:themeColor="text1"/>
        </w:rPr>
        <w:t>C</w:t>
      </w:r>
      <w:r w:rsidR="00980EB3" w:rsidRPr="00021550">
        <w:rPr>
          <w:rFonts w:ascii="Palatino Linotype" w:hAnsi="Palatino Linotype"/>
          <w:color w:val="000000" w:themeColor="text1"/>
        </w:rPr>
        <w:t>entro</w:t>
      </w:r>
      <w:r w:rsidR="004D3772">
        <w:rPr>
          <w:rFonts w:ascii="Palatino Linotype" w:hAnsi="Palatino Linotype"/>
          <w:color w:val="000000" w:themeColor="text1"/>
        </w:rPr>
        <w:t xml:space="preserve"> </w:t>
      </w:r>
      <w:r w:rsidR="00630751">
        <w:rPr>
          <w:rFonts w:ascii="Palatino Linotype" w:hAnsi="Palatino Linotype"/>
          <w:color w:val="000000" w:themeColor="text1"/>
        </w:rPr>
        <w:t>– xxxxx(</w:t>
      </w:r>
      <w:r w:rsidR="00980EB3" w:rsidRPr="00021550">
        <w:rPr>
          <w:rFonts w:ascii="Palatino Linotype" w:hAnsi="Palatino Linotype"/>
          <w:color w:val="000000" w:themeColor="text1"/>
        </w:rPr>
        <w:t>MA</w:t>
      </w:r>
      <w:r w:rsidR="00630751">
        <w:rPr>
          <w:rFonts w:ascii="Palatino Linotype" w:hAnsi="Palatino Linotype"/>
          <w:color w:val="000000" w:themeColor="text1"/>
        </w:rPr>
        <w:t>)</w:t>
      </w:r>
      <w:r w:rsidR="004D3772">
        <w:rPr>
          <w:rFonts w:ascii="Palatino Linotype" w:hAnsi="Palatino Linotype"/>
          <w:color w:val="000000" w:themeColor="text1"/>
        </w:rPr>
        <w:t xml:space="preserve"> –</w:t>
      </w:r>
      <w:r w:rsidR="00980EB3" w:rsidRPr="00021550">
        <w:rPr>
          <w:rFonts w:ascii="Palatino Linotype" w:hAnsi="Palatino Linotype"/>
          <w:color w:val="000000" w:themeColor="text1"/>
        </w:rPr>
        <w:t xml:space="preserve"> CEP</w:t>
      </w:r>
      <w:r w:rsidR="004D3772">
        <w:rPr>
          <w:rFonts w:ascii="Palatino Linotype" w:hAnsi="Palatino Linotype"/>
          <w:color w:val="000000" w:themeColor="text1"/>
        </w:rPr>
        <w:t xml:space="preserve"> </w:t>
      </w:r>
      <w:r w:rsidR="00630751">
        <w:rPr>
          <w:rFonts w:ascii="Palatino Linotype" w:hAnsi="Palatino Linotype"/>
          <w:color w:val="000000" w:themeColor="text1"/>
        </w:rPr>
        <w:t>xxxxxxxx</w:t>
      </w:r>
      <w:r w:rsidR="00980EB3" w:rsidRPr="00021550">
        <w:rPr>
          <w:rFonts w:ascii="Palatino Linotype" w:hAnsi="Palatino Linotype"/>
          <w:color w:val="000000" w:themeColor="text1"/>
        </w:rPr>
        <w:t>, devidamente inscrito no CNPJ</w:t>
      </w:r>
      <w:r w:rsidR="00630751">
        <w:rPr>
          <w:rFonts w:ascii="Palatino Linotype" w:hAnsi="Palatino Linotype"/>
          <w:color w:val="000000" w:themeColor="text1"/>
        </w:rPr>
        <w:t xml:space="preserve"> no. xxxxxxxx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representado pelo Prefeito Municipal o Senhor </w:t>
      </w:r>
      <w:r w:rsidR="00273C44">
        <w:rPr>
          <w:rFonts w:ascii="Palatino Linotype" w:hAnsi="Palatino Linotype"/>
          <w:i/>
          <w:iCs/>
          <w:color w:val="000000" w:themeColor="text1"/>
        </w:rPr>
        <w:t>xxxxxxxxx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brasileiro, </w:t>
      </w:r>
      <w:r w:rsidR="00273C44">
        <w:rPr>
          <w:rFonts w:ascii="Palatino Linotype" w:hAnsi="Palatino Linotype"/>
          <w:color w:val="000000" w:themeColor="text1"/>
        </w:rPr>
        <w:t>xxxxxxx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</w:t>
      </w:r>
      <w:r w:rsidR="00273C44">
        <w:rPr>
          <w:rFonts w:ascii="Palatino Linotype" w:hAnsi="Palatino Linotype"/>
          <w:color w:val="000000" w:themeColor="text1"/>
        </w:rPr>
        <w:t>xxxxxxx</w:t>
      </w:r>
      <w:r w:rsidR="00980EB3" w:rsidRPr="00021550">
        <w:rPr>
          <w:rFonts w:ascii="Palatino Linotype" w:hAnsi="Palatino Linotype"/>
          <w:color w:val="000000" w:themeColor="text1"/>
        </w:rPr>
        <w:t>, CPF n</w:t>
      </w:r>
      <w:r w:rsidR="004D3772">
        <w:rPr>
          <w:rFonts w:ascii="Palatino Linotype" w:hAnsi="Palatino Linotype"/>
          <w:color w:val="000000" w:themeColor="text1"/>
        </w:rPr>
        <w:t>.</w:t>
      </w:r>
      <w:r w:rsidR="00980EB3" w:rsidRPr="00021550">
        <w:rPr>
          <w:rFonts w:ascii="Palatino Linotype" w:hAnsi="Palatino Linotype"/>
          <w:color w:val="000000" w:themeColor="text1"/>
        </w:rPr>
        <w:t xml:space="preserve"> </w:t>
      </w:r>
      <w:r w:rsidR="00273C44">
        <w:rPr>
          <w:rFonts w:ascii="Palatino Linotype" w:hAnsi="Palatino Linotype"/>
          <w:color w:val="000000" w:themeColor="text1"/>
        </w:rPr>
        <w:t>xxxxxxxx</w:t>
      </w:r>
      <w:r w:rsidR="00980EB3" w:rsidRPr="00021550">
        <w:rPr>
          <w:rFonts w:ascii="Palatino Linotype" w:hAnsi="Palatino Linotype"/>
          <w:color w:val="000000" w:themeColor="text1"/>
        </w:rPr>
        <w:t>, portador d</w:t>
      </w:r>
      <w:r w:rsidR="000652F7">
        <w:rPr>
          <w:rFonts w:ascii="Palatino Linotype" w:hAnsi="Palatino Linotype"/>
          <w:color w:val="000000" w:themeColor="text1"/>
        </w:rPr>
        <w:t>o RG xxxxxxxx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com </w:t>
      </w:r>
      <w:r w:rsidR="0038443E" w:rsidRPr="00021550">
        <w:rPr>
          <w:rFonts w:ascii="Palatino Linotype" w:hAnsi="Palatino Linotype"/>
          <w:color w:val="000000" w:themeColor="text1"/>
        </w:rPr>
        <w:t>endereç</w:t>
      </w:r>
      <w:r w:rsidR="0038443E" w:rsidRPr="00021550">
        <w:rPr>
          <w:rFonts w:ascii="Palatino Linotype" w:hAnsi="Palatino Linotype" w:cs="Arial"/>
          <w:color w:val="000000" w:themeColor="text1"/>
        </w:rPr>
        <w:t>o</w:t>
      </w:r>
      <w:r w:rsidR="00980EB3" w:rsidRPr="00021550">
        <w:rPr>
          <w:rFonts w:ascii="Palatino Linotype" w:hAnsi="Palatino Linotype"/>
          <w:color w:val="000000" w:themeColor="text1"/>
        </w:rPr>
        <w:t xml:space="preserve"> na Rua </w:t>
      </w:r>
      <w:r w:rsidR="000652F7">
        <w:rPr>
          <w:rFonts w:ascii="Palatino Linotype" w:hAnsi="Palatino Linotype"/>
          <w:color w:val="000000" w:themeColor="text1"/>
        </w:rPr>
        <w:t>xxxxxxx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</w:t>
      </w:r>
      <w:r w:rsidR="000652F7">
        <w:rPr>
          <w:rFonts w:ascii="Palatino Linotype" w:hAnsi="Palatino Linotype"/>
          <w:color w:val="000000" w:themeColor="text1"/>
        </w:rPr>
        <w:t>xxxxx</w:t>
      </w:r>
      <w:r w:rsidR="00980EB3" w:rsidRPr="00021550">
        <w:rPr>
          <w:rFonts w:ascii="Palatino Linotype" w:hAnsi="Palatino Linotype"/>
          <w:color w:val="000000" w:themeColor="text1"/>
        </w:rPr>
        <w:t xml:space="preserve">, Centro, </w:t>
      </w:r>
      <w:r w:rsidR="000652F7">
        <w:rPr>
          <w:rFonts w:ascii="Palatino Linotype" w:hAnsi="Palatino Linotype"/>
          <w:color w:val="000000" w:themeColor="text1"/>
        </w:rPr>
        <w:t>xxxx(</w:t>
      </w:r>
      <w:r w:rsidR="00A91A5A">
        <w:rPr>
          <w:rFonts w:ascii="Palatino Linotype" w:hAnsi="Palatino Linotype"/>
          <w:color w:val="000000" w:themeColor="text1"/>
        </w:rPr>
        <w:t>P</w:t>
      </w:r>
      <w:r w:rsidR="00980EB3" w:rsidRPr="00021550">
        <w:rPr>
          <w:rFonts w:ascii="Palatino Linotype" w:hAnsi="Palatino Linotype"/>
          <w:color w:val="000000" w:themeColor="text1"/>
        </w:rPr>
        <w:t>A</w:t>
      </w:r>
      <w:r w:rsidR="000652F7">
        <w:rPr>
          <w:rFonts w:ascii="Palatino Linotype" w:hAnsi="Palatino Linotype"/>
          <w:color w:val="000000" w:themeColor="text1"/>
        </w:rPr>
        <w:t>)</w:t>
      </w:r>
      <w:r w:rsidR="00EC1FCF" w:rsidRPr="00021550">
        <w:rPr>
          <w:rStyle w:val="Refdenotaderodap"/>
          <w:rFonts w:ascii="Palatino Linotype" w:hAnsi="Palatino Linotype"/>
          <w:color w:val="000000" w:themeColor="text1"/>
        </w:rPr>
        <w:footnoteReference w:id="1"/>
      </w:r>
      <w:r w:rsidR="00EC1FCF" w:rsidRPr="00021550">
        <w:rPr>
          <w:rStyle w:val="Refdenotaderodap"/>
          <w:rFonts w:ascii="Palatino Linotype" w:hAnsi="Palatino Linotype"/>
          <w:color w:val="000000" w:themeColor="text1"/>
        </w:rPr>
        <w:footnoteReference w:id="2"/>
      </w:r>
      <w:r w:rsidR="00980EB3" w:rsidRPr="00021550">
        <w:rPr>
          <w:rFonts w:ascii="Palatino Linotype" w:hAnsi="Palatino Linotype"/>
          <w:color w:val="000000" w:themeColor="text1"/>
        </w:rPr>
        <w:t xml:space="preserve">, </w:t>
      </w:r>
      <w:r w:rsidR="00B0094C" w:rsidRPr="00021550">
        <w:rPr>
          <w:rFonts w:ascii="Palatino Linotype" w:hAnsi="Palatino Linotype"/>
          <w:color w:val="000000" w:themeColor="text1"/>
        </w:rPr>
        <w:t xml:space="preserve">por </w:t>
      </w:r>
      <w:r w:rsidR="004D3772">
        <w:rPr>
          <w:rFonts w:ascii="Palatino Linotype" w:hAnsi="Palatino Linotype"/>
          <w:color w:val="000000" w:themeColor="text1"/>
        </w:rPr>
        <w:t>conduto</w:t>
      </w:r>
      <w:r w:rsidR="00B0094C" w:rsidRPr="00021550">
        <w:rPr>
          <w:rFonts w:ascii="Palatino Linotype" w:hAnsi="Palatino Linotype"/>
          <w:color w:val="000000" w:themeColor="text1"/>
        </w:rPr>
        <w:t xml:space="preserve"> de seus </w:t>
      </w:r>
      <w:r w:rsidR="004D3772">
        <w:rPr>
          <w:rFonts w:ascii="Palatino Linotype" w:hAnsi="Palatino Linotype"/>
          <w:color w:val="000000" w:themeColor="text1"/>
        </w:rPr>
        <w:t>causídicos</w:t>
      </w:r>
      <w:r w:rsidR="00B0094C" w:rsidRPr="00021550">
        <w:rPr>
          <w:rFonts w:ascii="Palatino Linotype" w:hAnsi="Palatino Linotype"/>
          <w:color w:val="000000" w:themeColor="text1"/>
        </w:rPr>
        <w:t xml:space="preserve"> ao final signatários, vem a </w:t>
      </w:r>
      <w:r w:rsidR="00334B2D">
        <w:rPr>
          <w:rFonts w:ascii="Palatino Linotype" w:hAnsi="Palatino Linotype"/>
          <w:color w:val="000000" w:themeColor="text1"/>
        </w:rPr>
        <w:t xml:space="preserve">conspícua </w:t>
      </w:r>
      <w:r w:rsidR="00B0094C" w:rsidRPr="00021550">
        <w:rPr>
          <w:rFonts w:ascii="Palatino Linotype" w:hAnsi="Palatino Linotype"/>
          <w:color w:val="000000" w:themeColor="text1"/>
        </w:rPr>
        <w:t xml:space="preserve">presença de Vossa Excelência </w:t>
      </w:r>
      <w:r w:rsidR="006B4BA1">
        <w:rPr>
          <w:rFonts w:ascii="Palatino Linotype" w:hAnsi="Palatino Linotype"/>
          <w:color w:val="000000" w:themeColor="text1"/>
        </w:rPr>
        <w:t>apresentar</w:t>
      </w:r>
      <w:r w:rsidR="00334B2D">
        <w:rPr>
          <w:rFonts w:ascii="Palatino Linotype" w:hAnsi="Palatino Linotype"/>
          <w:color w:val="000000" w:themeColor="text1"/>
        </w:rPr>
        <w:t xml:space="preserve"> tempestivamente </w:t>
      </w:r>
    </w:p>
    <w:p w14:paraId="31183DE0" w14:textId="77777777" w:rsidR="00B0094C" w:rsidRPr="00021550" w:rsidRDefault="00B0094C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  <w:shd w:val="clear" w:color="auto" w:fill="FFFFFF"/>
        </w:rPr>
      </w:pPr>
    </w:p>
    <w:p w14:paraId="5FB4BCC4" w14:textId="2C4241F4" w:rsidR="00980EB3" w:rsidRPr="00021550" w:rsidRDefault="006B4BA1" w:rsidP="00B0094C">
      <w:pPr>
        <w:pStyle w:val="NormalWeb"/>
        <w:spacing w:before="0" w:beforeAutospacing="0" w:after="0" w:afterAutospacing="0"/>
        <w:ind w:right="-567"/>
        <w:jc w:val="center"/>
        <w:rPr>
          <w:rFonts w:ascii="Palatino Linotype" w:hAnsi="Palatino Linotype"/>
          <w:b/>
          <w:bCs/>
          <w:color w:val="000000" w:themeColor="text1"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CONTESTAÇÃO</w:t>
      </w:r>
    </w:p>
    <w:p w14:paraId="4FD416F5" w14:textId="77777777" w:rsidR="00B0094C" w:rsidRPr="00021550" w:rsidRDefault="00B0094C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</w:p>
    <w:p w14:paraId="33BA8B7D" w14:textId="19554A86" w:rsidR="00980EB3" w:rsidRPr="00021550" w:rsidRDefault="00116016" w:rsidP="00B0094C">
      <w:pPr>
        <w:pStyle w:val="NormalWeb"/>
        <w:spacing w:before="0" w:beforeAutospacing="0" w:after="0" w:afterAutospacing="0"/>
        <w:ind w:right="-567"/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ab/>
      </w:r>
      <w:r>
        <w:rPr>
          <w:rFonts w:ascii="Palatino Linotype" w:hAnsi="Palatino Linotype"/>
          <w:color w:val="000000" w:themeColor="text1"/>
        </w:rPr>
        <w:tab/>
      </w:r>
      <w:r w:rsidR="00334B2D">
        <w:rPr>
          <w:rFonts w:ascii="Palatino Linotype" w:hAnsi="Palatino Linotype"/>
          <w:color w:val="000000" w:themeColor="text1"/>
        </w:rPr>
        <w:tab/>
      </w:r>
      <w:r w:rsidR="00980EB3" w:rsidRPr="00021550">
        <w:rPr>
          <w:rFonts w:ascii="Palatino Linotype" w:hAnsi="Palatino Linotype"/>
          <w:color w:val="000000" w:themeColor="text1"/>
        </w:rPr>
        <w:t xml:space="preserve">em face </w:t>
      </w:r>
      <w:r w:rsidR="006B4BA1">
        <w:rPr>
          <w:rFonts w:ascii="Palatino Linotype" w:hAnsi="Palatino Linotype"/>
          <w:color w:val="000000" w:themeColor="text1"/>
        </w:rPr>
        <w:t xml:space="preserve">da </w:t>
      </w:r>
      <w:r w:rsidR="006B4BA1">
        <w:rPr>
          <w:rFonts w:ascii="Palatino Linotype" w:hAnsi="Palatino Linotype"/>
          <w:b/>
          <w:bCs/>
          <w:color w:val="000000" w:themeColor="text1"/>
        </w:rPr>
        <w:t>D</w:t>
      </w:r>
      <w:r w:rsidR="006B4BA1" w:rsidRPr="006B4BA1">
        <w:rPr>
          <w:rFonts w:ascii="Palatino Linotype" w:hAnsi="Palatino Linotype"/>
          <w:b/>
          <w:bCs/>
          <w:color w:val="000000" w:themeColor="text1"/>
        </w:rPr>
        <w:t xml:space="preserve">ecisão </w:t>
      </w:r>
      <w:r w:rsidR="006B4BA1">
        <w:rPr>
          <w:rFonts w:ascii="Palatino Linotype" w:hAnsi="Palatino Linotype"/>
          <w:b/>
          <w:bCs/>
          <w:color w:val="000000" w:themeColor="text1"/>
        </w:rPr>
        <w:t>N</w:t>
      </w:r>
      <w:r w:rsidR="006B4BA1" w:rsidRPr="006B4BA1">
        <w:rPr>
          <w:rFonts w:ascii="Palatino Linotype" w:hAnsi="Palatino Linotype"/>
          <w:b/>
          <w:bCs/>
          <w:color w:val="000000" w:themeColor="text1"/>
        </w:rPr>
        <w:t>ormativa nº. 201, de 28 de dezembro de 2022,</w:t>
      </w:r>
      <w:r w:rsidR="006B4BA1" w:rsidRPr="00021550">
        <w:rPr>
          <w:rFonts w:ascii="Palatino Linotype" w:hAnsi="Palatino Linotype"/>
          <w:color w:val="000000" w:themeColor="text1"/>
        </w:rPr>
        <w:t xml:space="preserve"> publicad</w:t>
      </w:r>
      <w:r w:rsidR="00334B2D">
        <w:rPr>
          <w:rFonts w:ascii="Palatino Linotype" w:hAnsi="Palatino Linotype"/>
          <w:color w:val="000000" w:themeColor="text1"/>
        </w:rPr>
        <w:t>a</w:t>
      </w:r>
      <w:r w:rsidR="006B4BA1" w:rsidRPr="00021550">
        <w:rPr>
          <w:rFonts w:ascii="Palatino Linotype" w:hAnsi="Palatino Linotype"/>
          <w:color w:val="000000" w:themeColor="text1"/>
        </w:rPr>
        <w:t xml:space="preserve"> p</w:t>
      </w:r>
      <w:r w:rsidR="006B4BA1">
        <w:rPr>
          <w:rFonts w:ascii="Palatino Linotype" w:hAnsi="Palatino Linotype"/>
          <w:color w:val="000000" w:themeColor="text1"/>
        </w:rPr>
        <w:t>or est</w:t>
      </w:r>
      <w:r w:rsidR="00334B2D">
        <w:rPr>
          <w:rFonts w:ascii="Palatino Linotype" w:hAnsi="Palatino Linotype"/>
          <w:color w:val="000000" w:themeColor="text1"/>
        </w:rPr>
        <w:t>e</w:t>
      </w:r>
      <w:r w:rsidR="006B4BA1">
        <w:rPr>
          <w:rFonts w:ascii="Palatino Linotype" w:hAnsi="Palatino Linotype"/>
          <w:color w:val="000000" w:themeColor="text1"/>
        </w:rPr>
        <w:t xml:space="preserve"> </w:t>
      </w:r>
      <w:r w:rsidR="00334B2D">
        <w:rPr>
          <w:rFonts w:ascii="Palatino Linotype" w:hAnsi="Palatino Linotype"/>
          <w:color w:val="000000" w:themeColor="text1"/>
        </w:rPr>
        <w:t>Sodalício</w:t>
      </w:r>
      <w:r w:rsidR="006B4BA1">
        <w:rPr>
          <w:rFonts w:ascii="Palatino Linotype" w:hAnsi="Palatino Linotype"/>
          <w:color w:val="000000" w:themeColor="text1"/>
        </w:rPr>
        <w:t xml:space="preserve"> de</w:t>
      </w:r>
      <w:r w:rsidR="006B4BA1" w:rsidRPr="00021550">
        <w:rPr>
          <w:rFonts w:ascii="Palatino Linotype" w:hAnsi="Palatino Linotype"/>
          <w:color w:val="000000" w:themeColor="text1"/>
        </w:rPr>
        <w:t xml:space="preserve"> Contas da União (TCU)</w:t>
      </w:r>
      <w:r w:rsidR="006B4BA1" w:rsidRPr="00021550">
        <w:rPr>
          <w:rStyle w:val="Refdenotaderodap"/>
          <w:rFonts w:ascii="Palatino Linotype" w:hAnsi="Palatino Linotype"/>
          <w:color w:val="000000" w:themeColor="text1"/>
        </w:rPr>
        <w:footnoteReference w:id="3"/>
      </w:r>
      <w:r w:rsidR="006B4BA1">
        <w:rPr>
          <w:rFonts w:ascii="Palatino Linotype" w:hAnsi="Palatino Linotype"/>
          <w:color w:val="000000" w:themeColor="text1"/>
        </w:rPr>
        <w:t xml:space="preserve">, com fulcro no art. 292 do Regimento Interno, </w:t>
      </w:r>
      <w:r w:rsidR="00980EB3" w:rsidRPr="00021550">
        <w:rPr>
          <w:rFonts w:ascii="Palatino Linotype" w:hAnsi="Palatino Linotype"/>
          <w:color w:val="000000" w:themeColor="text1"/>
        </w:rPr>
        <w:t xml:space="preserve">pelos fatos e fundamentos </w:t>
      </w:r>
      <w:r w:rsidR="0038443E" w:rsidRPr="00021550">
        <w:rPr>
          <w:rFonts w:ascii="Palatino Linotype" w:hAnsi="Palatino Linotype"/>
          <w:color w:val="000000" w:themeColor="text1"/>
        </w:rPr>
        <w:t>jurídicos</w:t>
      </w:r>
      <w:r w:rsidR="00980EB3" w:rsidRPr="00021550">
        <w:rPr>
          <w:rFonts w:ascii="Palatino Linotype" w:hAnsi="Palatino Linotype"/>
          <w:color w:val="000000" w:themeColor="text1"/>
        </w:rPr>
        <w:t xml:space="preserve"> que passa a expor: </w:t>
      </w:r>
    </w:p>
    <w:p w14:paraId="62FEB3B4" w14:textId="412A1490" w:rsidR="0060668A" w:rsidRPr="00021550" w:rsidRDefault="0060668A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0663A9D7" w14:textId="77777777" w:rsidR="00B0094C" w:rsidRPr="00021550" w:rsidRDefault="00B0094C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D445819" w14:textId="0ED1925B" w:rsidR="0038443E" w:rsidRDefault="0038443E" w:rsidP="00B0094C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</w:pPr>
      <w:r w:rsidRPr="00021550"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  <w:t>DOS FATOS</w:t>
      </w:r>
    </w:p>
    <w:p w14:paraId="18E86209" w14:textId="77777777" w:rsidR="00157AD2" w:rsidRPr="00021550" w:rsidRDefault="00157AD2" w:rsidP="00157AD2">
      <w:pPr>
        <w:pStyle w:val="PargrafodaLista"/>
        <w:spacing w:after="0" w:line="240" w:lineRule="auto"/>
        <w:ind w:right="-567"/>
        <w:jc w:val="both"/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</w:pPr>
    </w:p>
    <w:p w14:paraId="5DAADBD5" w14:textId="3E15A076" w:rsidR="00DA5CCE" w:rsidRPr="00021550" w:rsidRDefault="00DA5CCE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21B57EBE" w14:textId="251D313A" w:rsidR="00DA5CCE" w:rsidRPr="00021550" w:rsidRDefault="00902A93" w:rsidP="00B0094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 Município autor fora surpreendido com </w:t>
      </w:r>
      <w:r w:rsidR="00B0094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 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redução do seu coeficiente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destinado ao cálculo das quotas referente ao </w:t>
      </w:r>
      <w:r w:rsidR="00B0094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seu 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Fundo de Participação dos Municípios 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(FPM)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1,</w:t>
      </w:r>
      <w:r w:rsidR="00157AD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xxxx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para 1</w:t>
      </w:r>
      <w:r w:rsidR="00157AD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,xxx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, para ser aplicado no exercício de 2023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conforme decisão normativa n</w:t>
      </w:r>
      <w:r w:rsidR="00B0094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º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 201, de 2</w:t>
      </w:r>
      <w:r w:rsidR="00B0094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8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dezembro de 2022, publicado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>por esta Corte de Contas</w:t>
      </w:r>
      <w:r w:rsidR="00EC1FCF" w:rsidRPr="00021550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</w:rPr>
        <w:footnoteReference w:id="4"/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em virtude da estimativa populacional apresentada pelo </w:t>
      </w:r>
      <w:r w:rsidR="00DA5CC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INSTITUTO BRASILEIRO DE GEOGRAFIA E ESTATÍSTICA – IBGE</w:t>
      </w:r>
      <w:r w:rsidR="00B0094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em 28 de dezembro de 2022.</w:t>
      </w:r>
    </w:p>
    <w:p w14:paraId="7B98A908" w14:textId="2A99A12E" w:rsidR="006B2A25" w:rsidRPr="00021550" w:rsidRDefault="006B2A25" w:rsidP="00B0094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1FA5C4F4" w14:textId="79C3087F" w:rsidR="006B4BA1" w:rsidRDefault="00902A93" w:rsidP="006B2A25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No caso em tela, o IBGE, mesmo sem ter finalizado o censo 2022, e em descumprimento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a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 devido processo legal, vez que </w:t>
      </w:r>
      <w:r w:rsidR="00722A13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alterou a metodologia utilizada desde 2011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</w:t>
      </w:r>
      <w:r w:rsidR="00246DD4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enviando ao TCU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B9064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os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dados 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imprecisos e não concluídos</w:t>
      </w:r>
      <w:r w:rsidR="00722A1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>sem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public</w:t>
      </w:r>
      <w:r w:rsidR="00B90644">
        <w:rPr>
          <w:rFonts w:ascii="Palatino Linotype" w:hAnsi="Palatino Linotype" w:cs="Times New Roman"/>
          <w:color w:val="000000" w:themeColor="text1"/>
          <w:sz w:val="24"/>
          <w:szCs w:val="24"/>
        </w:rPr>
        <w:t>ar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 estimativa populacional em Agosto de cada ano (art. 102, § § 1ºe 2º da Lei nº 8.443/92), </w:t>
      </w:r>
      <w:r w:rsidR="006B2A25" w:rsidRPr="00D35F6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impossibilitando os Municípios de administrativamente contestarem </w:t>
      </w:r>
      <w:r w:rsidR="003948C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tempestivamente </w:t>
      </w:r>
      <w:r w:rsidR="006B2A25" w:rsidRPr="00D35F6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os dados apresentados,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apontou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por estimativa, 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redução no número de habitantes do Município de </w:t>
      </w:r>
      <w:r w:rsidR="00157AD2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xxxxxx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,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saindo de </w:t>
      </w:r>
      <w:r w:rsidR="00157AD2">
        <w:rPr>
          <w:rFonts w:ascii="Palatino Linotype" w:hAnsi="Palatino Linotype" w:cs="Times New Roman"/>
          <w:color w:val="000000" w:themeColor="text1"/>
          <w:sz w:val="24"/>
          <w:szCs w:val="24"/>
        </w:rPr>
        <w:t>xxxxxx</w:t>
      </w:r>
      <w:r w:rsidR="006B2A25" w:rsidRPr="00021550">
        <w:rPr>
          <w:rFonts w:ascii="Palatino Linotype" w:eastAsia="Liberation Sans" w:hAnsi="Palatino Linotype" w:cs="Liberation Sans"/>
          <w:color w:val="000000" w:themeColor="text1"/>
          <w:sz w:val="24"/>
          <w:szCs w:val="24"/>
        </w:rPr>
        <w:t xml:space="preserve"> 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(</w:t>
      </w:r>
      <w:r w:rsidR="00157AD2">
        <w:rPr>
          <w:rFonts w:ascii="Palatino Linotype" w:hAnsi="Palatino Linotype" w:cs="Times New Roman"/>
          <w:color w:val="000000" w:themeColor="text1"/>
          <w:sz w:val="24"/>
          <w:szCs w:val="24"/>
        </w:rPr>
        <w:t>xxxxxxxxx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) habitantes em 2021 para </w:t>
      </w:r>
      <w:r w:rsidR="00157AD2">
        <w:rPr>
          <w:rFonts w:ascii="Palatino Linotype" w:hAnsi="Palatino Linotype" w:cs="Times New Roman"/>
          <w:color w:val="000000" w:themeColor="text1"/>
          <w:sz w:val="24"/>
          <w:szCs w:val="24"/>
        </w:rPr>
        <w:t>xxxxxx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(</w:t>
      </w:r>
      <w:r w:rsidR="00157AD2">
        <w:rPr>
          <w:rFonts w:ascii="Palatino Linotype" w:hAnsi="Palatino Linotype" w:cs="Times New Roman"/>
          <w:color w:val="000000" w:themeColor="text1"/>
          <w:sz w:val="24"/>
          <w:szCs w:val="24"/>
        </w:rPr>
        <w:t>xxxxxxxxx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) habitantes, em 2022,</w:t>
      </w:r>
      <w:r w:rsidR="00B6552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o que acarret</w:t>
      </w:r>
      <w:r w:rsidR="00B65529">
        <w:rPr>
          <w:rFonts w:ascii="Palatino Linotype" w:hAnsi="Palatino Linotype" w:cs="Times New Roman"/>
          <w:color w:val="000000" w:themeColor="text1"/>
          <w:sz w:val="24"/>
          <w:szCs w:val="24"/>
        </w:rPr>
        <w:t>a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na redução do seu coeficiente de FPM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para exercício de 2023</w:t>
      </w:r>
      <w:r w:rsidR="00D35F64">
        <w:rPr>
          <w:rFonts w:ascii="Palatino Linotype" w:hAnsi="Palatino Linotype" w:cs="Times New Roman"/>
          <w:color w:val="000000" w:themeColor="text1"/>
          <w:sz w:val="24"/>
          <w:szCs w:val="24"/>
        </w:rPr>
        <w:t>, conforme d</w:t>
      </w:r>
      <w:r w:rsidR="00D35F64" w:rsidRPr="00D35F6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ados consolidados na tabela populacional apresentada pela </w:t>
      </w:r>
      <w:r w:rsidR="00D35F6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Federação </w:t>
      </w:r>
      <w:r w:rsidR="00F36EEE">
        <w:rPr>
          <w:rFonts w:ascii="Palatino Linotype" w:hAnsi="Palatino Linotype" w:cs="Times New Roman"/>
          <w:color w:val="000000" w:themeColor="text1"/>
          <w:sz w:val="24"/>
          <w:szCs w:val="24"/>
        </w:rPr>
        <w:t>das Associações dos Municípios do Estado do Pará/</w:t>
      </w:r>
      <w:r w:rsidR="00D35F64" w:rsidRPr="00D35F64">
        <w:rPr>
          <w:rFonts w:ascii="Palatino Linotype" w:hAnsi="Palatino Linotype" w:cs="Times New Roman"/>
          <w:color w:val="000000" w:themeColor="text1"/>
          <w:sz w:val="24"/>
          <w:szCs w:val="24"/>
        </w:rPr>
        <w:t>FAME</w:t>
      </w:r>
      <w:r w:rsidR="00F36EEE">
        <w:rPr>
          <w:rFonts w:ascii="Palatino Linotype" w:hAnsi="Palatino Linotype" w:cs="Times New Roman"/>
          <w:color w:val="000000" w:themeColor="text1"/>
          <w:sz w:val="24"/>
          <w:szCs w:val="24"/>
        </w:rPr>
        <w:t>P</w:t>
      </w:r>
      <w:r w:rsidR="00D35F64" w:rsidRPr="00D35F64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  <w:vertAlign w:val="baseline"/>
        </w:rPr>
        <w:t xml:space="preserve"> </w:t>
      </w:r>
      <w:r w:rsidR="00D35F64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r w:rsidR="00D35F64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</w:rPr>
        <w:footnoteReference w:id="5"/>
      </w:r>
    </w:p>
    <w:p w14:paraId="790B0921" w14:textId="376A40B5" w:rsidR="006B4BA1" w:rsidRDefault="006B4BA1" w:rsidP="006B2A25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02413434" w14:textId="278DA48D" w:rsidR="006B4BA1" w:rsidRPr="00021550" w:rsidRDefault="00B65529" w:rsidP="006B2A25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1C7D00">
        <w:rPr>
          <w:rFonts w:ascii="Palatino Linotype" w:hAnsi="Palatino Linotype" w:cs="Times New Roman"/>
          <w:color w:val="000000" w:themeColor="text1"/>
          <w:sz w:val="24"/>
          <w:szCs w:val="24"/>
        </w:rPr>
        <w:t>É imperioso destacar que o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s dados apresentados foram coletados até 25/12/2022, impossibilitando </w:t>
      </w:r>
      <w:r w:rsidR="001C7D0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assim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>que os Municípios tomassem ciência e apresentassem comprovação de que a pesquisa se encontrava falha.</w:t>
      </w:r>
    </w:p>
    <w:p w14:paraId="52334EA1" w14:textId="77777777" w:rsidR="00B0094C" w:rsidRPr="00021550" w:rsidRDefault="00B0094C" w:rsidP="00B0094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6CFB0399" w14:textId="21BF0650" w:rsidR="00D35F64" w:rsidRDefault="00B85729" w:rsidP="00B0094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B0094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Frise-se que</w:t>
      </w:r>
      <w:r w:rsidR="00DA5CC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não se pretender buscar</w:t>
      </w:r>
      <w:r w:rsidR="006B4BA1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, neste momento,</w:t>
      </w:r>
      <w:r w:rsidR="00DA5CC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corrigir dados oficiais do INSTITUTO BRASILEIRO DE GEOGRAFIA E ESTATÍSTICA – IBGE, </w:t>
      </w:r>
      <w:r w:rsidR="006B4BA1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vez que o tempo não permite</w:t>
      </w:r>
      <w:r w:rsidR="00DA5CC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, mas sim a </w:t>
      </w:r>
      <w:r w:rsidR="00DA5CCE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aplicação devida dos princípios da legalidade e devido processo legal</w:t>
      </w:r>
      <w:r w:rsidR="00DA5CC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, vez que</w:t>
      </w:r>
    </w:p>
    <w:p w14:paraId="67EF7003" w14:textId="77777777" w:rsidR="00D35F64" w:rsidRDefault="00D35F64" w:rsidP="00B0094C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5E994778" w14:textId="05A202FB" w:rsidR="00D35F64" w:rsidRPr="00E751A4" w:rsidRDefault="00DA5CCE" w:rsidP="00E751A4">
      <w:pPr>
        <w:autoSpaceDE w:val="0"/>
        <w:autoSpaceDN w:val="0"/>
        <w:adjustRightInd w:val="0"/>
        <w:spacing w:after="0" w:line="240" w:lineRule="auto"/>
        <w:ind w:left="1416" w:right="-567"/>
        <w:jc w:val="both"/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</w:pPr>
      <w:r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  <w:u w:val="single"/>
        </w:rPr>
        <w:t>A UM: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="00246DD4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a mudança na metodologia dos dados não tem amparo legal e 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os dados apresentados pelo IBGE ao TCU</w:t>
      </w:r>
      <w:r w:rsidR="00EC1FCF" w:rsidRPr="00E751A4">
        <w:rPr>
          <w:rFonts w:ascii="Palatino Linotype" w:eastAsia="Liberation Sans" w:hAnsi="Palatino Linotype" w:cs="Liberation Sans"/>
          <w:i/>
          <w:iCs/>
          <w:color w:val="000000" w:themeColor="text1"/>
          <w:sz w:val="24"/>
          <w:szCs w:val="24"/>
        </w:rPr>
        <w:t xml:space="preserve"> </w:t>
      </w:r>
      <w:r w:rsidR="006B2A25" w:rsidRPr="00E751A4">
        <w:rPr>
          <w:rFonts w:ascii="Palatino Linotype" w:eastAsia="Liberation Sans" w:hAnsi="Palatino Linotype" w:cs="Liberation Sans"/>
          <w:i/>
          <w:iCs/>
          <w:color w:val="000000" w:themeColor="text1"/>
          <w:sz w:val="24"/>
          <w:szCs w:val="24"/>
        </w:rPr>
        <w:t>não se revestem de 100% de precisão</w:t>
      </w:r>
      <w:r w:rsidR="001C7D00" w:rsidRPr="00E751A4">
        <w:rPr>
          <w:rFonts w:ascii="Palatino Linotype" w:eastAsia="Liberation Sans" w:hAnsi="Palatino Linotype" w:cs="Liberation Sans"/>
          <w:i/>
          <w:iCs/>
          <w:color w:val="000000" w:themeColor="text1"/>
          <w:sz w:val="24"/>
          <w:szCs w:val="24"/>
        </w:rPr>
        <w:t xml:space="preserve">, assim como 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ocorreram fora do prazo legal, o que 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  <w:u w:val="single"/>
        </w:rPr>
        <w:t>impossibilitou que os Municípios contestassem os dados de forma administrativa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.</w:t>
      </w:r>
    </w:p>
    <w:p w14:paraId="734AC1A1" w14:textId="77777777" w:rsidR="00D35F64" w:rsidRPr="00E751A4" w:rsidRDefault="00D35F64" w:rsidP="00E751A4">
      <w:pPr>
        <w:autoSpaceDE w:val="0"/>
        <w:autoSpaceDN w:val="0"/>
        <w:adjustRightInd w:val="0"/>
        <w:spacing w:after="0" w:line="240" w:lineRule="auto"/>
        <w:ind w:left="1416" w:right="-567"/>
        <w:jc w:val="both"/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</w:pPr>
    </w:p>
    <w:p w14:paraId="2E0B92A3" w14:textId="3E9580B4" w:rsidR="00D35F64" w:rsidRPr="00E751A4" w:rsidRDefault="00DA5CCE" w:rsidP="00E751A4">
      <w:pPr>
        <w:autoSpaceDE w:val="0"/>
        <w:autoSpaceDN w:val="0"/>
        <w:adjustRightInd w:val="0"/>
        <w:spacing w:after="0" w:line="240" w:lineRule="auto"/>
        <w:ind w:left="1416" w:right="-567"/>
        <w:jc w:val="both"/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</w:pP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</w:t>
      </w:r>
      <w:r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  <w:u w:val="single"/>
        </w:rPr>
        <w:t>A DOIS: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como </w:t>
      </w:r>
      <w:r w:rsidR="00B0094C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os dados enviados 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não se trat</w:t>
      </w:r>
      <w:r w:rsidR="00B0094C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a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de dados</w:t>
      </w:r>
      <w:r w:rsidR="006B2A25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de </w:t>
      </w:r>
      <w:r w:rsidR="006B2A25"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  <w:u w:val="single"/>
        </w:rPr>
        <w:t>prévia da população (estimativa),</w:t>
      </w:r>
      <w:r w:rsidR="006B2A25"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6B2A25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eis que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o</w:t>
      </w:r>
      <w:r w:rsidR="00B0094C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novo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censo de 2022</w:t>
      </w:r>
      <w:r w:rsidR="006B2A25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 não fora finalizado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, 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  <w:u w:val="single"/>
        </w:rPr>
        <w:t xml:space="preserve">o TCU não poderia reduzir o coeficiente </w:t>
      </w:r>
      <w:r w:rsidR="00B0094C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  <w:u w:val="single"/>
        </w:rPr>
        <w:t>de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  <w:u w:val="single"/>
        </w:rPr>
        <w:t xml:space="preserve"> Municípios que tiveram </w:t>
      </w:r>
      <w:r w:rsidR="0044576C"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  <w:u w:val="single"/>
        </w:rPr>
        <w:t>redução dos seus coeficientes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 xml:space="preserve">, por força </w:t>
      </w:r>
      <w:r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>da</w:t>
      </w:r>
      <w:r w:rsidR="00E751A4"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 xml:space="preserve"> imposição legal prevista na</w:t>
      </w:r>
      <w:r w:rsidRPr="00E751A4">
        <w:rPr>
          <w:rStyle w:val="Bodytext1"/>
          <w:rFonts w:ascii="Palatino Linotype" w:hAnsi="Palatino Linotype"/>
          <w:b/>
          <w:bCs/>
          <w:i/>
          <w:iCs/>
          <w:color w:val="000000" w:themeColor="text1"/>
          <w:sz w:val="24"/>
          <w:szCs w:val="24"/>
        </w:rPr>
        <w:t xml:space="preserve"> Lei Complementar 165/2019</w:t>
      </w:r>
      <w:r w:rsidRPr="00E751A4">
        <w:rPr>
          <w:rStyle w:val="Bodytext1"/>
          <w:rFonts w:ascii="Palatino Linotype" w:hAnsi="Palatino Linotype"/>
          <w:i/>
          <w:iCs/>
          <w:color w:val="000000" w:themeColor="text1"/>
          <w:sz w:val="24"/>
          <w:szCs w:val="24"/>
        </w:rPr>
        <w:t>.</w:t>
      </w:r>
    </w:p>
    <w:p w14:paraId="4CAF19DD" w14:textId="42727055" w:rsidR="0044576C" w:rsidRPr="00021550" w:rsidRDefault="00E751A4" w:rsidP="0044576C">
      <w:pPr>
        <w:autoSpaceDE w:val="0"/>
        <w:autoSpaceDN w:val="0"/>
        <w:adjustRightInd w:val="0"/>
        <w:spacing w:before="240" w:after="0" w:line="240" w:lineRule="auto"/>
        <w:ind w:right="-567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Destarte, busca-se </w:t>
      </w:r>
      <w:r w:rsidR="006B4BA1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administrativamente que seja 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suspens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o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os efeitos da </w:t>
      </w:r>
      <w:r w:rsidR="0044576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decisão normativa do TCU n. 201, de 28 de dezembro de 2022,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para o Município de</w:t>
      </w:r>
      <w:r w:rsidR="0052019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xxxxxxxxx</w:t>
      </w:r>
      <w:r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(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MA</w:t>
      </w:r>
      <w:r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)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, </w:t>
      </w:r>
      <w:r w:rsidR="006B4BA1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mantendo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-se</w:t>
      </w:r>
      <w:r w:rsidR="0044576C" w:rsidRPr="00021550">
        <w:rPr>
          <w:rFonts w:ascii="Palatino Linotype" w:eastAsia="Liberation Sans" w:hAnsi="Palatino Linotype" w:cs="Liberation Sans"/>
          <w:b/>
          <w:bCs/>
          <w:color w:val="000000" w:themeColor="text1"/>
          <w:sz w:val="24"/>
          <w:szCs w:val="24"/>
        </w:rPr>
        <w:t xml:space="preserve"> 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o </w:t>
      </w:r>
      <w:r w:rsidR="00DA5CCE" w:rsidRPr="00021550">
        <w:rPr>
          <w:rFonts w:ascii="Palatino Linotype" w:hAnsi="Palatino Linotype" w:cs="Times New Roman"/>
          <w:b/>
          <w:bCs/>
          <w:i/>
          <w:iCs/>
          <w:color w:val="000000" w:themeColor="text1"/>
          <w:sz w:val="24"/>
          <w:szCs w:val="24"/>
        </w:rPr>
        <w:t>status quo ante</w:t>
      </w:r>
      <w:r w:rsidR="00DA5CCE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relativo à população estimada do Município de 20</w:t>
      </w:r>
      <w:r w:rsidR="0044576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21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que era </w:t>
      </w:r>
      <w:r w:rsidR="00520192">
        <w:rPr>
          <w:rFonts w:ascii="Palatino Linotype" w:hAnsi="Palatino Linotype" w:cs="Times New Roman"/>
          <w:color w:val="000000" w:themeColor="text1"/>
          <w:sz w:val="24"/>
          <w:szCs w:val="24"/>
        </w:rPr>
        <w:t>xxxxxx</w:t>
      </w:r>
      <w:r w:rsidR="0044576C" w:rsidRPr="00021550">
        <w:rPr>
          <w:rFonts w:ascii="Palatino Linotype" w:eastAsia="Liberation Sans" w:hAnsi="Palatino Linotype" w:cs="Liberation Sans"/>
          <w:color w:val="000000" w:themeColor="text1"/>
          <w:sz w:val="24"/>
          <w:szCs w:val="24"/>
        </w:rPr>
        <w:t xml:space="preserve"> </w:t>
      </w:r>
      <w:r w:rsidR="0044576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(</w:t>
      </w:r>
      <w:r w:rsidR="00520192">
        <w:rPr>
          <w:rFonts w:ascii="Palatino Linotype" w:hAnsi="Palatino Linotype" w:cs="Times New Roman"/>
          <w:color w:val="000000" w:themeColor="text1"/>
          <w:sz w:val="24"/>
          <w:szCs w:val="24"/>
        </w:rPr>
        <w:t>xxxxxxxxxxx</w:t>
      </w:r>
      <w:r w:rsidR="0044576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)</w:t>
      </w:r>
      <w:r w:rsidR="00DA5CCE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habitantes,</w:t>
      </w:r>
      <w:r w:rsidR="0044576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44576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de forma a manter o coeficiente do Município em 1,</w:t>
      </w:r>
      <w:r w:rsidR="0052019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xxxxxxxx</w:t>
      </w:r>
      <w:r w:rsidR="0044576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, até que seja finalizado o censo de 2022.</w:t>
      </w:r>
    </w:p>
    <w:p w14:paraId="460C81A5" w14:textId="1EBE8660" w:rsidR="0038443E" w:rsidRDefault="0038443E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14:paraId="0E35C939" w14:textId="3B4C3D34" w:rsidR="00D35F64" w:rsidRDefault="00D35F64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14:paraId="76D4C2F0" w14:textId="5B47633A" w:rsidR="00520192" w:rsidRDefault="00520192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14:paraId="5CB69397" w14:textId="77777777" w:rsidR="00520192" w:rsidRPr="00021550" w:rsidRDefault="00520192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14:paraId="49D6D806" w14:textId="1E4DB64B" w:rsidR="0038443E" w:rsidRPr="00021550" w:rsidRDefault="0038443E" w:rsidP="00B0094C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</w:pPr>
      <w:r w:rsidRPr="00021550"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  <w:t>CONTEXTUALIZANDO OS FATOS</w:t>
      </w:r>
    </w:p>
    <w:p w14:paraId="265729B3" w14:textId="0FFC9804" w:rsidR="0038443E" w:rsidRDefault="0038443E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8609CAE" w14:textId="5D67A723" w:rsidR="004B4D13" w:rsidRDefault="004B4D13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C83C114" w14:textId="77777777" w:rsidR="004B4D13" w:rsidRPr="00021550" w:rsidRDefault="004B4D13" w:rsidP="00B0094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0B2CD64A" w14:textId="3D4E9363" w:rsidR="0038443E" w:rsidRPr="00021550" w:rsidRDefault="004B4D13" w:rsidP="0044576C">
      <w:pPr>
        <w:pStyle w:val="Bodytext10"/>
        <w:spacing w:line="240" w:lineRule="auto"/>
        <w:ind w:right="-567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O Instituto Brasileiro de Geografia e Estatística – IBGE é, segundo disposição da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L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ei nº 5.878/73, o órgão responsável pela realização do censo e contagem populacional dos Municípios no país, que se faz, de acordo com a lei, a cada dez anos, sendo o último realizado em 2010.</w:t>
      </w:r>
    </w:p>
    <w:p w14:paraId="595B82D2" w14:textId="77777777" w:rsidR="0044576C" w:rsidRPr="00021550" w:rsidRDefault="0044576C" w:rsidP="0044576C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44054157" w14:textId="41E5723F" w:rsidR="0044576C" w:rsidRPr="00021550" w:rsidRDefault="004B4D13" w:rsidP="0044576C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Passado o censo, o IBGE procede à atualização populacional anualmente, por estimativa, a qual tem como objetivo atualizar as estimativas de população, incorporando também as mudanças demográficas ocorridas no território nacional, desde o último levantamento de referência que, neste caso, foi o Censo Demográfico 2010.</w:t>
      </w:r>
    </w:p>
    <w:p w14:paraId="6F065954" w14:textId="77777777" w:rsidR="00773A2D" w:rsidRPr="00021550" w:rsidRDefault="00773A2D" w:rsidP="0044576C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216EC6DA" w14:textId="30078485" w:rsidR="0038443E" w:rsidRPr="00021550" w:rsidRDefault="004B4D13" w:rsidP="004B4D13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Estas informações são enviadas anualmente à União</w:t>
      </w:r>
      <w:r w:rsidR="0044576C" w:rsidRPr="0002155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Federal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que, por meio do Tribunal de Contas da União – TCU,</w:t>
      </w:r>
      <w:r w:rsidR="0044576C" w:rsidRPr="0002155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fixa as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faixas e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percentuais de participação dos Municípios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no Fundo de Participação dos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Municípios – FPM,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sendo estas</w:t>
      </w:r>
      <w:r w:rsidR="0044576C" w:rsidRPr="0002155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repassadas ao Banco do Brasil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para que efetue os</w:t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competentes</w:t>
      </w:r>
      <w:r w:rsidR="0044576C" w:rsidRPr="00021550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repasses.</w:t>
      </w:r>
    </w:p>
    <w:p w14:paraId="0CC327AB" w14:textId="77777777" w:rsidR="0044576C" w:rsidRPr="00021550" w:rsidRDefault="0044576C" w:rsidP="0044576C">
      <w:pPr>
        <w:pStyle w:val="Bodytext10"/>
        <w:tabs>
          <w:tab w:val="left" w:pos="4906"/>
          <w:tab w:val="left" w:pos="7233"/>
        </w:tabs>
        <w:spacing w:line="240" w:lineRule="auto"/>
        <w:ind w:right="-567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31CF5F1B" w14:textId="0D6ECF1D" w:rsidR="0038443E" w:rsidRPr="00021550" w:rsidRDefault="004B4D13" w:rsidP="0044576C">
      <w:pPr>
        <w:pStyle w:val="Bodytext10"/>
        <w:spacing w:line="240" w:lineRule="auto"/>
        <w:ind w:right="-567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Em 2021 o Supremo Tribunal Federal (STF) determinou que a União adotasse todas as medidas administrativas e legislativas necessárias para a realização do censo demográfico da Fundação Instituto Brasileiro de Geografia e Estatística (IBGE) em 2022.</w:t>
      </w:r>
    </w:p>
    <w:p w14:paraId="5D51E3A1" w14:textId="77777777" w:rsidR="0044576C" w:rsidRPr="00021550" w:rsidRDefault="0044576C" w:rsidP="0044576C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7B805457" w14:textId="54741A52" w:rsidR="0038443E" w:rsidRPr="00021550" w:rsidRDefault="004B4D13" w:rsidP="0044576C">
      <w:pPr>
        <w:pStyle w:val="Bodytext10"/>
        <w:spacing w:line="240" w:lineRule="auto"/>
        <w:ind w:right="-567" w:firstLine="0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Assim, por força de determinação judicial, está acontecendo </w:t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desde </w:t>
      </w:r>
      <w:r w:rsidR="006B2A25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agosto</w:t>
      </w:r>
      <w:r w:rsidR="00EC1FCF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do</w:t>
      </w:r>
      <w:r w:rsidR="0038443E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 w:rsidR="00EC1FCF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corrente ano</w:t>
      </w:r>
      <w:r w:rsidR="006B2A25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,</w:t>
      </w:r>
      <w:r w:rsidR="00EC1FCF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o </w:t>
      </w:r>
      <w:r w:rsidR="0038443E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censo 2022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, que, dentre outros, determinará o número de habitantes de cada município do País.</w:t>
      </w:r>
    </w:p>
    <w:p w14:paraId="6C9315DF" w14:textId="77777777" w:rsidR="00EC1FCF" w:rsidRPr="00021550" w:rsidRDefault="00EC1FCF" w:rsidP="0044576C">
      <w:pPr>
        <w:pStyle w:val="Bodytext10"/>
        <w:spacing w:line="240" w:lineRule="auto"/>
        <w:ind w:right="-567" w:firstLine="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</w:p>
    <w:p w14:paraId="6D01322C" w14:textId="60871994" w:rsidR="00766EBD" w:rsidRPr="00021550" w:rsidRDefault="00A5572A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44576C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Contudo, f</w:t>
      </w:r>
      <w:r w:rsidR="0038443E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ato notório e amplamente divulgado em todos os meios de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comunicação, é que a União vem tendo dificuldades no trabalho de pesquisa populacional, seja por cortes orçamentários ou políticas contrárias à excelência do trabalho a ser realizado pelo IBGE.</w:t>
      </w:r>
    </w:p>
    <w:p w14:paraId="1CE6BFDC" w14:textId="77777777" w:rsidR="00766EBD" w:rsidRPr="00021550" w:rsidRDefault="00766EBD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2834E664" w14:textId="35AB6CE4" w:rsidR="00766EBD" w:rsidRPr="00021550" w:rsidRDefault="00A5572A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 título de exemplo, pode-se citar </w:t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dificuldades de recenseamento em período eleitoral e copa do mundo, 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ausência de recen</w:t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se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adores, </w:t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como se demonstra nas inúmeras matérias que o IBGE vem divulgando</w:t>
      </w:r>
      <w:r w:rsidR="00EC1FCF" w:rsidRPr="00021550">
        <w:rPr>
          <w:rStyle w:val="Refdenotaderodap"/>
          <w:rFonts w:ascii="Palatino Linotype" w:eastAsia="Liberation Sans" w:hAnsi="Palatino Linotype" w:cs="Liberation Sans"/>
          <w:color w:val="000000" w:themeColor="text1"/>
          <w:sz w:val="24"/>
          <w:szCs w:val="24"/>
        </w:rPr>
        <w:footnoteReference w:id="6"/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e cortes orçamentários </w:t>
      </w:r>
      <w:r w:rsidR="00EC1FCF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que resultou na impossibilidade da finalização do censo este ano.</w:t>
      </w:r>
    </w:p>
    <w:p w14:paraId="70D65320" w14:textId="693FF453" w:rsidR="00EC1FCF" w:rsidRPr="00021550" w:rsidRDefault="00EC1FCF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3B2C9D0B" w14:textId="77777777" w:rsidR="00A5572A" w:rsidRDefault="00A5572A" w:rsidP="0016709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2126D54D" w14:textId="77777777" w:rsidR="00A5572A" w:rsidRDefault="00A5572A" w:rsidP="0016709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36BF6782" w14:textId="5718BF75" w:rsidR="0044576C" w:rsidRPr="00021550" w:rsidRDefault="00A5572A" w:rsidP="0016709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 verdade é que </w:t>
      </w:r>
      <w:r w:rsidR="00766EBD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o </w:t>
      </w:r>
      <w:r w:rsidR="00BB28C1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resultado</w:t>
      </w:r>
      <w:r w:rsidR="00766EBD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do censo 2022 já fora aditado</w:t>
      </w:r>
      <w:r w:rsidR="00BB28C1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e prorrogado</w:t>
      </w:r>
      <w:r w:rsidR="00766EBD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por diversas vezes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e por inúmeras falhas do IBGE e da União, como o </w:t>
      </w:r>
      <w:r w:rsidR="0016709A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t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rabalho precário, atrasos e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>retenção</w:t>
      </w:r>
      <w:r w:rsidR="0016709A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66EBD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nos pagamentos de recenseadores que culminaram, não só com o atraso do Censo 2022, </w:t>
      </w:r>
      <w:r w:rsidR="00766EBD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>bem como com a imprecisão nos dados apurados.</w:t>
      </w:r>
    </w:p>
    <w:p w14:paraId="2DB3D077" w14:textId="665125D1" w:rsidR="00246DD4" w:rsidRPr="00021550" w:rsidRDefault="00246DD4" w:rsidP="0016709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</w:pPr>
    </w:p>
    <w:p w14:paraId="6512AD6B" w14:textId="441FEFEF" w:rsidR="00BB28C1" w:rsidRPr="00021550" w:rsidRDefault="00A5572A" w:rsidP="0016709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ab/>
      </w:r>
      <w:r w:rsidR="00246DD4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Com base em dados não finalizados, </w:t>
      </w:r>
      <w:r w:rsidR="00246DD4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>e</w:t>
      </w:r>
      <w:r w:rsidR="00BB28C1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 xml:space="preserve"> diferente de todos os anos, em que os dados do IBGE eram divulgados até 31 de agosto e enviados ao TCU até 31 de outubro, o que possibilitava </w:t>
      </w:r>
      <w:r w:rsidR="000719B7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>a</w:t>
      </w:r>
      <w:r w:rsidR="00BB28C1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 xml:space="preserve">os Municípios de contestarem os dados de forma administrativa, este ano, o IBGE, sem finalizar o censo, </w:t>
      </w:r>
      <w:r w:rsidR="00BB28C1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u w:val="single"/>
        </w:rPr>
        <w:t>alterou a metodologia do cálculo</w:t>
      </w:r>
      <w:r w:rsidR="00C81D0B" w:rsidRPr="00021550">
        <w:rPr>
          <w:rStyle w:val="Refdenotaderodap"/>
          <w:rFonts w:ascii="Palatino Linotype" w:eastAsia="Liberation Sans" w:hAnsi="Palatino Linotype" w:cs="Liberation Sans"/>
          <w:color w:val="000000" w:themeColor="text1"/>
          <w:sz w:val="24"/>
          <w:szCs w:val="24"/>
          <w:u w:val="single"/>
        </w:rPr>
        <w:footnoteReference w:id="7"/>
      </w:r>
      <w:r w:rsidR="00246DD4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u w:val="single"/>
        </w:rPr>
        <w:t xml:space="preserve">, sem qualquer base normativa </w:t>
      </w:r>
      <w:r w:rsidR="00D35F64" w:rsidRPr="00021550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u w:val="single"/>
        </w:rPr>
        <w:t xml:space="preserve">e </w:t>
      </w:r>
      <w:r w:rsidR="00D35F64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>enviou</w:t>
      </w:r>
      <w:r w:rsidR="00BB28C1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 xml:space="preserve"> os dados a</w:t>
      </w:r>
      <w:r w:rsidR="006B4BA1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 xml:space="preserve"> esta Corte,</w:t>
      </w:r>
      <w:r w:rsidR="00BB28C1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  <w:u w:val="single"/>
        </w:rPr>
        <w:t xml:space="preserve"> sem prazo para que os Municípios pudessem contestar os dados.</w:t>
      </w:r>
    </w:p>
    <w:p w14:paraId="549B63C8" w14:textId="684FC466" w:rsidR="00EC1FCF" w:rsidRPr="00021550" w:rsidRDefault="00EC1FCF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3323F02F" w14:textId="218CDFB8" w:rsidR="00BB28C1" w:rsidRPr="00021550" w:rsidRDefault="000719B7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ab/>
      </w:r>
      <w:r w:rsidR="00EC1FCF" w:rsidRPr="00021550">
        <w:rPr>
          <w:rStyle w:val="Bodytext1"/>
          <w:rFonts w:ascii="Palatino Linotype" w:hAnsi="Palatino Linotype"/>
          <w:color w:val="000000" w:themeColor="text1"/>
          <w:sz w:val="24"/>
          <w:szCs w:val="24"/>
        </w:rPr>
        <w:t xml:space="preserve">Assim, em 28 de dezembro de 2022, para fins de cumprimento da </w:t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 Lei Complementar nº. 91 de 1997, o IBGE enviou para TCU </w:t>
      </w:r>
      <w:r w:rsidR="0016709A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a prévia</w:t>
      </w:r>
      <w:r w:rsidR="0016709A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da população brasileira</w:t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calculada com base nos resultados do Censo Demográfico 2022 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coletados </w:t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até o dia 25 de dezembro (25/12/2022), conforme nota oficial do IBGE</w:t>
      </w:r>
      <w:r w:rsidR="0016709A" w:rsidRPr="00021550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</w:rPr>
        <w:footnoteReference w:id="8"/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em que 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o presidente da entidade reconheceu</w:t>
      </w:r>
      <w:r w:rsidR="00BB28C1" w:rsidRPr="00021550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</w:rPr>
        <w:footnoteReference w:id="9"/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que a coleta do Censo, iniciada em 1º de agosto de 2022, agora deve se </w:t>
      </w:r>
      <w:r w:rsidR="00BB28C1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estender até pelo menos fevereiro de 2023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quando o instituto espera cumprir a etapa de verificação de informações coletadas, revisita a domicílios com moradores ausentes e a lares onde houve recusa de moradores, ou endereços que foram relatados pelos recenseadores como não ocupados.</w:t>
      </w:r>
    </w:p>
    <w:p w14:paraId="26190CD3" w14:textId="77777777" w:rsidR="00246DD4" w:rsidRPr="00021550" w:rsidRDefault="00246DD4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25417FD4" w14:textId="7D14F6D7" w:rsidR="00BB28C1" w:rsidRPr="00021550" w:rsidRDefault="0036026F" w:rsidP="00766EBD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Desta forma, resta demonstrado que os dados enviados para o TCU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em 28 de dezembro de 2022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são imprecisos, eis que 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possuem falhas no processo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coleta</w:t>
      </w:r>
      <w:r w:rsidR="00BB28C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 não estão finalizados, </w:t>
      </w:r>
      <w:r w:rsidR="00C81D0B" w:rsidRP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não podendo serem utilizados para fins de utilização como parâmetro para o cálculo do coeficiente dos Municípios de suas quotas de FPM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não sendo correto a utilização da nova metodologia aplicada pelo IBGE para censo 2022.</w:t>
      </w:r>
    </w:p>
    <w:p w14:paraId="643B3AD1" w14:textId="4F4C3FB6" w:rsidR="0044576C" w:rsidRPr="00021550" w:rsidRDefault="0044576C" w:rsidP="0044576C">
      <w:pPr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6137B5B3" w14:textId="31427775" w:rsidR="0044576C" w:rsidRPr="00021550" w:rsidRDefault="0044576C" w:rsidP="0044576C">
      <w:pPr>
        <w:spacing w:after="0" w:line="240" w:lineRule="auto"/>
        <w:ind w:right="-567"/>
        <w:jc w:val="both"/>
        <w:rPr>
          <w:rStyle w:val="Bodytext1"/>
          <w:rFonts w:ascii="Palatino Linotype" w:hAnsi="Palatino Linotype"/>
          <w:color w:val="000000" w:themeColor="text1"/>
          <w:sz w:val="24"/>
          <w:szCs w:val="24"/>
        </w:rPr>
      </w:pPr>
    </w:p>
    <w:p w14:paraId="5DED9EC4" w14:textId="43A1733F" w:rsidR="0044576C" w:rsidRPr="00021550" w:rsidRDefault="0044576C" w:rsidP="0044576C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</w:pPr>
      <w:r w:rsidRPr="00021550"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  <w:t>DO DIREITO</w:t>
      </w:r>
    </w:p>
    <w:p w14:paraId="23CF1DB7" w14:textId="783FFFE1" w:rsidR="0044576C" w:rsidRPr="00021550" w:rsidRDefault="0044576C" w:rsidP="0044576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2D3B748" w14:textId="7184730A" w:rsidR="00766EBD" w:rsidRPr="00021550" w:rsidRDefault="0036026F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</w:t>
      </w:r>
      <w:r w:rsidR="0044576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Lei Complementar n. 91 de 1997, através</w:t>
      </w:r>
      <w:r w:rsidR="00EC1FCF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44576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do seu art. 1º, disciplina que o coeficiente individual de cada Município será apurado de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acordo com o seu número de habitantes:</w:t>
      </w:r>
    </w:p>
    <w:p w14:paraId="7DC75EC6" w14:textId="77777777" w:rsidR="00EC1FCF" w:rsidRPr="00021550" w:rsidRDefault="00EC1FCF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5F177BDE" w14:textId="4426E287" w:rsidR="00766EBD" w:rsidRPr="00021550" w:rsidRDefault="00766EBD" w:rsidP="00D35F64">
      <w:pPr>
        <w:spacing w:after="0" w:line="240" w:lineRule="auto"/>
        <w:ind w:left="1134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21550">
        <w:rPr>
          <w:rFonts w:ascii="Times New Roman" w:hAnsi="Times New Roman" w:cs="Times New Roman"/>
          <w:i/>
          <w:iCs/>
          <w:color w:val="000000" w:themeColor="text1"/>
        </w:rPr>
        <w:t>Art. 1º Fica atribuído aos Municípios, exceto os de Capital, coeficiente</w:t>
      </w:r>
      <w:r w:rsidR="00EC1FCF"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>individual no Fundo de Participação dos Municípios – FPM, segundo seu</w:t>
      </w:r>
      <w:r w:rsidR="00EC1FCF"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número de habitantes, 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lastRenderedPageBreak/>
        <w:t>conforme estabelecido no § 2° do art. 91 da Lei n° 5.172,</w:t>
      </w:r>
      <w:r w:rsidR="00EC1FCF"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>de 25 de outubro de 1966, com a redação dada pelo Decreto-lei n° 1.881, de 27</w:t>
      </w:r>
      <w:r w:rsidR="00EC1FCF"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>de agosto de 1981.</w:t>
      </w:r>
    </w:p>
    <w:p w14:paraId="6582DE1F" w14:textId="77777777" w:rsidR="00EC1FCF" w:rsidRPr="00021550" w:rsidRDefault="00EC1FCF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C92AFEB" w14:textId="526DB769" w:rsidR="006B2A25" w:rsidRPr="00021550" w:rsidRDefault="0036026F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Por sua vez, dispõe o art. 102, caput, da Lei Orgânica do Tribunal de Contas</w:t>
      </w:r>
      <w:r w:rsidR="00EC1FCF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da União (Lei nº 8.443/92) que cabe à Entidade competente do Poder Executivo Federal,</w:t>
      </w:r>
      <w:r w:rsidR="00EC1FCF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no caso em apreço, o IBGE, realizar os levantamentos necessários, visando identificar o</w:t>
      </w:r>
      <w:r w:rsidR="00EC1FCF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número de habitantes por Município, </w:t>
      </w:r>
      <w:r w:rsidR="00766EBD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devendo essa relação ser publicada no Diário Oficial</w:t>
      </w:r>
      <w:r w:rsidR="00EC1FCF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da União até </w:t>
      </w:r>
      <w:r w:rsidR="00766EBD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 xml:space="preserve">31 de </w:t>
      </w:r>
      <w:r w:rsidR="00BB28C1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outubro</w:t>
      </w:r>
      <w:r w:rsidR="00766EBD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 xml:space="preserve"> de cada ano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nos casos dos Municípios, para os fins previstos</w:t>
      </w:r>
      <w:r w:rsidR="00EC1FCF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no inc. VI do art. 1º da Legislação retromencionada</w:t>
      </w:r>
    </w:p>
    <w:p w14:paraId="631A463A" w14:textId="77777777" w:rsidR="006B2A25" w:rsidRPr="00021550" w:rsidRDefault="006B2A25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445EDD48" w14:textId="77777777" w:rsidR="00BB28C1" w:rsidRPr="00021550" w:rsidRDefault="00BB28C1" w:rsidP="001727C6">
      <w:pPr>
        <w:pStyle w:val="Citao"/>
        <w:tabs>
          <w:tab w:val="left" w:pos="1134"/>
        </w:tabs>
        <w:spacing w:before="40" w:after="40"/>
        <w:ind w:left="1416" w:right="-568"/>
        <w:rPr>
          <w:rFonts w:ascii="Times New Roman" w:hAnsi="Times New Roman"/>
          <w:b/>
          <w:bCs/>
          <w:color w:val="000000" w:themeColor="text1"/>
          <w:szCs w:val="22"/>
        </w:rPr>
      </w:pPr>
      <w:r w:rsidRPr="00021550">
        <w:rPr>
          <w:rFonts w:ascii="Times New Roman" w:hAnsi="Times New Roman"/>
          <w:color w:val="000000" w:themeColor="text1"/>
          <w:szCs w:val="22"/>
        </w:rPr>
        <w:t xml:space="preserve">Art. 102. </w:t>
      </w:r>
      <w:r w:rsidRPr="00021550">
        <w:rPr>
          <w:rFonts w:ascii="Times New Roman" w:hAnsi="Times New Roman"/>
          <w:b/>
          <w:bCs/>
          <w:color w:val="000000" w:themeColor="text1"/>
          <w:szCs w:val="22"/>
        </w:rPr>
        <w:t>A Fundação Instituto Brasileiro de Geografia e Estatística (IBGE</w:t>
      </w:r>
      <w:r w:rsidRPr="00021550">
        <w:rPr>
          <w:rFonts w:ascii="Times New Roman" w:hAnsi="Times New Roman"/>
          <w:color w:val="000000" w:themeColor="text1"/>
          <w:szCs w:val="22"/>
        </w:rPr>
        <w:t xml:space="preserve">) ou entidade congênere fará </w:t>
      </w:r>
      <w:r w:rsidRPr="00021550">
        <w:rPr>
          <w:rFonts w:ascii="Times New Roman" w:hAnsi="Times New Roman"/>
          <w:b/>
          <w:bCs/>
          <w:color w:val="000000" w:themeColor="text1"/>
          <w:szCs w:val="22"/>
        </w:rPr>
        <w:t>publicar no Diário Oficial da União, até o dia 31 de agosto de cada ano</w:t>
      </w:r>
      <w:r w:rsidRPr="00021550">
        <w:rPr>
          <w:rFonts w:ascii="Times New Roman" w:hAnsi="Times New Roman"/>
          <w:color w:val="000000" w:themeColor="text1"/>
          <w:szCs w:val="22"/>
        </w:rPr>
        <w:t xml:space="preserve">, e para os fins previstos no inciso VI do art. 1º desta lei, a relação das populações por Estados </w:t>
      </w:r>
      <w:r w:rsidRPr="00021550">
        <w:rPr>
          <w:rFonts w:ascii="Times New Roman" w:hAnsi="Times New Roman"/>
          <w:b/>
          <w:bCs/>
          <w:color w:val="000000" w:themeColor="text1"/>
          <w:szCs w:val="22"/>
        </w:rPr>
        <w:t>e Municípios.</w:t>
      </w:r>
    </w:p>
    <w:p w14:paraId="3C90E6E2" w14:textId="77777777" w:rsidR="00D35F64" w:rsidRDefault="00D35F64" w:rsidP="001727C6">
      <w:pPr>
        <w:pStyle w:val="Citao"/>
        <w:tabs>
          <w:tab w:val="left" w:pos="1134"/>
        </w:tabs>
        <w:spacing w:before="40" w:after="40"/>
        <w:ind w:left="1416" w:right="-568"/>
        <w:rPr>
          <w:rFonts w:ascii="Times New Roman" w:hAnsi="Times New Roman"/>
          <w:color w:val="000000" w:themeColor="text1"/>
          <w:szCs w:val="22"/>
        </w:rPr>
      </w:pPr>
    </w:p>
    <w:p w14:paraId="065BF6AA" w14:textId="1E5EF95B" w:rsidR="00BB28C1" w:rsidRPr="00021550" w:rsidRDefault="00BB28C1" w:rsidP="001727C6">
      <w:pPr>
        <w:pStyle w:val="Citao"/>
        <w:tabs>
          <w:tab w:val="left" w:pos="1134"/>
        </w:tabs>
        <w:spacing w:before="40" w:after="40"/>
        <w:ind w:left="1416" w:right="-568"/>
        <w:rPr>
          <w:rFonts w:ascii="Times New Roman" w:hAnsi="Times New Roman"/>
          <w:b/>
          <w:bCs/>
          <w:color w:val="000000" w:themeColor="text1"/>
          <w:szCs w:val="22"/>
          <w:u w:val="single"/>
        </w:rPr>
      </w:pPr>
      <w:r w:rsidRPr="00021550">
        <w:rPr>
          <w:rFonts w:ascii="Times New Roman" w:hAnsi="Times New Roman"/>
          <w:color w:val="000000" w:themeColor="text1"/>
          <w:szCs w:val="22"/>
        </w:rPr>
        <w:t xml:space="preserve">§ 1º </w:t>
      </w:r>
      <w:r w:rsidRPr="00021550">
        <w:rPr>
          <w:rFonts w:ascii="Times New Roman" w:hAnsi="Times New Roman"/>
          <w:b/>
          <w:bCs/>
          <w:color w:val="000000" w:themeColor="text1"/>
          <w:szCs w:val="22"/>
          <w:u w:val="single"/>
        </w:rPr>
        <w:t>Os interessados, dentro do prazo de vinte dias da publicação, poderão apresentar reclamações fundamentadas à Fundação IBGE, que decidirá conclusivamente.</w:t>
      </w:r>
    </w:p>
    <w:p w14:paraId="0C647A89" w14:textId="77777777" w:rsidR="00D35F64" w:rsidRDefault="00D35F64" w:rsidP="001727C6">
      <w:pPr>
        <w:pStyle w:val="Citao"/>
        <w:tabs>
          <w:tab w:val="left" w:pos="1134"/>
        </w:tabs>
        <w:spacing w:before="40" w:after="40"/>
        <w:ind w:left="1416" w:right="-568"/>
        <w:rPr>
          <w:rFonts w:ascii="Times New Roman" w:hAnsi="Times New Roman"/>
          <w:color w:val="000000" w:themeColor="text1"/>
          <w:szCs w:val="22"/>
        </w:rPr>
      </w:pPr>
    </w:p>
    <w:p w14:paraId="111293A1" w14:textId="1DF6493D" w:rsidR="00BB28C1" w:rsidRPr="00021550" w:rsidRDefault="00BB28C1" w:rsidP="001727C6">
      <w:pPr>
        <w:pStyle w:val="Citao"/>
        <w:tabs>
          <w:tab w:val="left" w:pos="1134"/>
        </w:tabs>
        <w:spacing w:before="40" w:after="40"/>
        <w:ind w:left="1416" w:right="-568"/>
        <w:rPr>
          <w:rFonts w:ascii="Times New Roman" w:hAnsi="Times New Roman"/>
          <w:color w:val="000000" w:themeColor="text1"/>
          <w:szCs w:val="22"/>
        </w:rPr>
      </w:pPr>
      <w:r w:rsidRPr="00021550">
        <w:rPr>
          <w:rFonts w:ascii="Times New Roman" w:hAnsi="Times New Roman"/>
          <w:color w:val="000000" w:themeColor="text1"/>
          <w:szCs w:val="22"/>
        </w:rPr>
        <w:t>§ 2º Até o dia 31 de outubro de cada ano, a Fundação IBGE encaminhará ao Tribunal de Contas da União a relação referida neste artigo.</w:t>
      </w:r>
    </w:p>
    <w:p w14:paraId="1433DC0C" w14:textId="77777777" w:rsidR="0016709A" w:rsidRPr="00021550" w:rsidRDefault="0016709A" w:rsidP="00766EBD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084E27C7" w14:textId="2ACC1142" w:rsidR="00766EBD" w:rsidRPr="00021550" w:rsidRDefault="001727C6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No caso em tela, 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 IBGE, mesmo sem ter finalizado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oficialmente 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 censo 2022, e em descumprimento do devido processo legal, </w:t>
      </w:r>
      <w:r w:rsidR="00C81D0B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vez que não publicou a estimativa em Agosto d</w:t>
      </w:r>
      <w:r w:rsidR="00246DD4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o corrente</w:t>
      </w:r>
      <w:r w:rsidR="00C81D0B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ano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 enviou ao TCU dados coletados até 25/12/2022, </w:t>
      </w:r>
      <w:r w:rsidR="00C81D0B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impossibilitando os Municípios de administrativamente contestarem os dados apresentados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C81D0B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>alter</w:t>
      </w:r>
      <w:r w:rsidR="006B4BA1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>ando</w:t>
      </w:r>
      <w:r w:rsidR="00C81D0B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 xml:space="preserve"> a metodologia do cálculo</w:t>
      </w:r>
      <w:r w:rsidR="00246DD4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>,</w:t>
      </w:r>
      <w:r w:rsidR="00C81D0B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 xml:space="preserve"> enviando </w:t>
      </w:r>
      <w:r w:rsidR="006B4BA1" w:rsidRPr="008C08B7">
        <w:rPr>
          <w:rStyle w:val="Bodytext1"/>
          <w:rFonts w:ascii="Palatino Linotype" w:hAnsi="Palatino Linotype"/>
          <w:b/>
          <w:bCs/>
          <w:color w:val="000000" w:themeColor="text1"/>
          <w:sz w:val="24"/>
          <w:szCs w:val="24"/>
          <w:highlight w:val="yellow"/>
          <w:u w:val="single"/>
        </w:rPr>
        <w:t>a esta Corte,</w:t>
      </w:r>
      <w:r w:rsidR="00C81D0B" w:rsidRPr="008C08B7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246DD4" w:rsidRPr="008C08B7">
        <w:rPr>
          <w:rFonts w:ascii="Palatino Linotype" w:hAnsi="Palatino Linotype" w:cs="Times New Roman"/>
          <w:b/>
          <w:bCs/>
          <w:smallCaps/>
          <w:color w:val="000000" w:themeColor="text1"/>
          <w:sz w:val="24"/>
          <w:szCs w:val="24"/>
          <w:highlight w:val="yellow"/>
        </w:rPr>
        <w:t xml:space="preserve">dados </w:t>
      </w:r>
      <w:r w:rsidR="00C81D0B" w:rsidRPr="008C08B7">
        <w:rPr>
          <w:rFonts w:ascii="Palatino Linotype" w:hAnsi="Palatino Linotype" w:cs="Times New Roman"/>
          <w:b/>
          <w:bCs/>
          <w:smallCaps/>
          <w:color w:val="000000" w:themeColor="text1"/>
          <w:sz w:val="24"/>
          <w:szCs w:val="24"/>
          <w:highlight w:val="yellow"/>
        </w:rPr>
        <w:t>imprecisos e não concluídos</w:t>
      </w:r>
      <w:r w:rsidR="00C81D0B" w:rsidRPr="00021550">
        <w:rPr>
          <w:rFonts w:ascii="Palatino Linotype" w:hAnsi="Palatino Linotype" w:cs="Times New Roman"/>
          <w:smallCaps/>
          <w:color w:val="000000" w:themeColor="text1"/>
          <w:sz w:val="24"/>
          <w:szCs w:val="24"/>
        </w:rPr>
        <w:t>,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que </w:t>
      </w:r>
      <w:r w:rsidR="00C81D0B" w:rsidRPr="00021550">
        <w:rPr>
          <w:rFonts w:ascii="Palatino Linotype" w:hAnsi="Palatino Linotype" w:cs="Times New Roman"/>
          <w:i/>
          <w:iCs/>
          <w:color w:val="000000" w:themeColor="text1"/>
          <w:sz w:val="24"/>
          <w:szCs w:val="24"/>
        </w:rPr>
        <w:t>in casu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apontam, por</w:t>
      </w:r>
      <w:r w:rsidR="0016709A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estimativa, 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redução no</w:t>
      </w:r>
      <w:r w:rsidR="00766EB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número de habitantes do Município</w:t>
      </w:r>
      <w:r w:rsidR="00C81D0B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</w:t>
      </w:r>
      <w:r w:rsidR="00071346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xxxxxx</w:t>
      </w:r>
      <w:r w:rsidR="00246DD4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2E2D4993" w14:textId="1A6C650C" w:rsidR="00DA6091" w:rsidRPr="00021550" w:rsidRDefault="00DA6091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4B6D2C44" w14:textId="5683B610" w:rsidR="00DA6091" w:rsidRPr="00021550" w:rsidRDefault="008C08B7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De forma alguma se refuta a metodologia, que seria ingressar na seara administrativa, mas ocorre que apenas a metodologia sem os dados concretos, podem levar, como de fato levaram, a uma tabulaç</w:t>
      </w:r>
      <w:r w:rsidR="00DA6091" w:rsidRPr="00021550">
        <w:rPr>
          <w:rFonts w:ascii="Times New Roman" w:hAnsi="Times New Roman" w:cs="Times New Roman"/>
          <w:color w:val="000000" w:themeColor="text1"/>
          <w:sz w:val="24"/>
          <w:szCs w:val="24"/>
        </w:rPr>
        <w:t>ã</w:t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o errô</w:t>
      </w:r>
      <w:r w:rsidR="00DA6091" w:rsidRPr="00021550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ea dos dados populacionais.</w:t>
      </w:r>
    </w:p>
    <w:p w14:paraId="171AEE4C" w14:textId="7F349CAB" w:rsidR="006B2A25" w:rsidRPr="00021550" w:rsidRDefault="006B2A2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206B52C5" w14:textId="3B252587" w:rsidR="006B2A25" w:rsidRPr="00021550" w:rsidRDefault="00580B8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Necessário que se frise que </w:t>
      </w:r>
      <w:r w:rsidR="006B2A25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não se trata do uso de dados finalizados do censo de 2022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vez que o IBGE estima que somente em janeiro ou fevereiro poderá finalizar o censo.</w:t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61D4FBDA" w14:textId="42CED680" w:rsidR="006B2A25" w:rsidRPr="00021550" w:rsidRDefault="006B2A2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4023D981" w14:textId="7108A023" w:rsidR="006B2A25" w:rsidRPr="00021550" w:rsidRDefault="00580B85" w:rsidP="00383B5F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Diversamente de todos os anos, em que o IBGE utilizava o censo de 2010 com </w:t>
      </w:r>
      <w:r w:rsidR="006B2A25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população estimada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este ano, </w:t>
      </w:r>
      <w:r w:rsidR="006B2A25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de forma extemporânea</w:t>
      </w:r>
      <w:r w:rsidR="006B2A25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– eis que publicado os dados e enviados ao TCU em 28 de dezembro de 2022- fora apresentada uma PRÉVIA da população com base no censo inacabado de 2022.</w:t>
      </w:r>
    </w:p>
    <w:p w14:paraId="7654AA14" w14:textId="3FC9A204" w:rsidR="006B2A25" w:rsidRDefault="006B2A2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5594B7F" w14:textId="6A8CAA55" w:rsidR="00580B85" w:rsidRDefault="00580B8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16F787D" w14:textId="77777777" w:rsidR="00383B5F" w:rsidRPr="00021550" w:rsidRDefault="00383B5F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7CEDC46C" w14:textId="54F46B6A" w:rsidR="006B2A25" w:rsidRPr="00021550" w:rsidRDefault="00580B85" w:rsidP="00580B85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80B85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Pr="00580B85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ab/>
      </w:r>
      <w:r w:rsidRPr="00580B85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ab/>
      </w:r>
      <w:r w:rsidR="006B2A25" w:rsidRP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 xml:space="preserve">Resta claro que a mudança na metodologia </w:t>
      </w:r>
      <w:r w:rsidR="00DA6091" w:rsidRP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 xml:space="preserve">realizada há 03 (três) dias do fim do exercício, sem que fosse concedido prazo para que os Municípios contestassem os dados apresentados violou o devido processo legal e </w:t>
      </w:r>
      <w:r w:rsidR="00DF7557" w:rsidRP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>acarretará</w:t>
      </w:r>
      <w:r w:rsidR="00DA6091" w:rsidRP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  <w:u w:val="single"/>
        </w:rPr>
        <w:t xml:space="preserve"> prejuízos financeiros ao Autor, o que deve ser imediatamente sobrestado</w:t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08B1273C" w14:textId="0F3ADE4D" w:rsidR="00DA6091" w:rsidRPr="00021550" w:rsidRDefault="00DA6091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06ED79C" w14:textId="00B68D2C" w:rsidR="00DA6091" w:rsidRPr="00021550" w:rsidRDefault="00383B5F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DA6091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Ainda mais, tendo em vista 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com a Lei Complementar nº 165, de 03 de janeiro de 2019, até que seja finalizado o novo Censo Demográfico no Brasil de 2022, os coeficientes de repartição do FPM não deverão sofrer decréscimos, senão vejamos:</w:t>
      </w:r>
    </w:p>
    <w:p w14:paraId="1407D374" w14:textId="6DDD224B" w:rsidR="006B2A25" w:rsidRPr="00021550" w:rsidRDefault="006B2A25" w:rsidP="00C81D0B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6AAA23A6" w14:textId="48AABF4A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21550">
        <w:rPr>
          <w:rFonts w:ascii="Times New Roman" w:hAnsi="Times New Roman" w:cs="Times New Roman"/>
          <w:i/>
          <w:iCs/>
          <w:color w:val="000000" w:themeColor="text1"/>
        </w:rPr>
        <w:t>Art. 1</w:t>
      </w:r>
      <w:r w:rsidR="00D35F64" w:rsidRPr="00021550">
        <w:rPr>
          <w:rFonts w:ascii="Times New Roman" w:hAnsi="Times New Roman" w:cs="Times New Roman"/>
          <w:i/>
          <w:iCs/>
          <w:color w:val="000000" w:themeColor="text1"/>
        </w:rPr>
        <w:t>º O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art. 2º da Lei Complementar nº 91, de 22 de dezembro de 1997, passa a vigorar acrescido do seguinte § 3º:</w:t>
      </w:r>
    </w:p>
    <w:p w14:paraId="1C269A22" w14:textId="77777777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4E0B83C" w14:textId="0782E197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21550">
        <w:rPr>
          <w:rFonts w:ascii="Times New Roman" w:hAnsi="Times New Roman" w:cs="Times New Roman"/>
          <w:i/>
          <w:iCs/>
          <w:color w:val="000000" w:themeColor="text1"/>
        </w:rPr>
        <w:t>“Art. 2</w:t>
      </w:r>
      <w:r w:rsidR="00D35F64" w:rsidRPr="00021550">
        <w:rPr>
          <w:rFonts w:ascii="Times New Roman" w:hAnsi="Times New Roman" w:cs="Times New Roman"/>
          <w:i/>
          <w:iCs/>
          <w:color w:val="000000" w:themeColor="text1"/>
        </w:rPr>
        <w:t>º (...)</w:t>
      </w:r>
    </w:p>
    <w:p w14:paraId="6C08BFBE" w14:textId="77777777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26B0D63C" w14:textId="1A40FBD0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21550">
        <w:rPr>
          <w:rFonts w:ascii="Times New Roman" w:hAnsi="Times New Roman" w:cs="Times New Roman"/>
          <w:i/>
          <w:iCs/>
          <w:color w:val="000000" w:themeColor="text1"/>
        </w:rPr>
        <w:t>§ 3</w:t>
      </w:r>
      <w:r w:rsidR="00D35F64" w:rsidRPr="00021550">
        <w:rPr>
          <w:rFonts w:ascii="Times New Roman" w:hAnsi="Times New Roman" w:cs="Times New Roman"/>
          <w:i/>
          <w:iCs/>
          <w:color w:val="000000" w:themeColor="text1"/>
        </w:rPr>
        <w:t>º A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partir de 1º de janeiro de 2019, </w:t>
      </w:r>
      <w:r w:rsidRPr="00021550">
        <w:rPr>
          <w:rFonts w:ascii="Times New Roman" w:hAnsi="Times New Roman" w:cs="Times New Roman"/>
          <w:b/>
          <w:bCs/>
          <w:i/>
          <w:iCs/>
          <w:color w:val="000000" w:themeColor="text1"/>
        </w:rPr>
        <w:t>até que sejam atualizados com base em novo censo demográfico,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021550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>ficam mantidos, em relação aos Municípios que apresentem redução de seus coeficientes decorrente de estimativa anual do IBGE, os coeficientes de distribuição do FPM utilizados no exercício de 2018.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>” (NR)</w:t>
      </w:r>
    </w:p>
    <w:p w14:paraId="69177929" w14:textId="77777777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9F28B58" w14:textId="599759DB" w:rsidR="00DF7557" w:rsidRPr="00021550" w:rsidRDefault="00DF7557" w:rsidP="00383B5F">
      <w:pPr>
        <w:spacing w:after="0" w:line="240" w:lineRule="auto"/>
        <w:ind w:left="1416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021550">
        <w:rPr>
          <w:rFonts w:ascii="Times New Roman" w:hAnsi="Times New Roman" w:cs="Times New Roman"/>
          <w:i/>
          <w:iCs/>
          <w:color w:val="000000" w:themeColor="text1"/>
        </w:rPr>
        <w:t>Art. 2</w:t>
      </w:r>
      <w:r w:rsidR="00D35F64" w:rsidRPr="00021550">
        <w:rPr>
          <w:rFonts w:ascii="Times New Roman" w:hAnsi="Times New Roman" w:cs="Times New Roman"/>
          <w:i/>
          <w:iCs/>
          <w:color w:val="000000" w:themeColor="text1"/>
        </w:rPr>
        <w:t>º Esta</w:t>
      </w:r>
      <w:r w:rsidRPr="00021550">
        <w:rPr>
          <w:rFonts w:ascii="Times New Roman" w:hAnsi="Times New Roman" w:cs="Times New Roman"/>
          <w:i/>
          <w:iCs/>
          <w:color w:val="000000" w:themeColor="text1"/>
        </w:rPr>
        <w:t xml:space="preserve"> Lei Complementar entra em vigor na data de sua publicação.</w:t>
      </w:r>
    </w:p>
    <w:p w14:paraId="4CA216A2" w14:textId="014B2E94" w:rsidR="00DF7557" w:rsidRPr="00021550" w:rsidRDefault="00DF7557" w:rsidP="00383B5F">
      <w:pPr>
        <w:spacing w:after="0" w:line="240" w:lineRule="auto"/>
        <w:ind w:left="282" w:right="-567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66E9952A" w14:textId="394C2B50" w:rsidR="00336D1C" w:rsidRPr="006C11A2" w:rsidRDefault="00383B5F" w:rsidP="00DF7557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Destarte, ainda que se considere 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legais os dados enviados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ao TCU pelo IBGE de forma extemporânea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relativo a prévia do censo 2022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resta demonstrado que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a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decisão normativa nº. 201, de 28 de dezembro de 2022, publicado 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por est</w:t>
      </w:r>
      <w:r w:rsidR="006C11A2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e Sodalício</w:t>
      </w:r>
      <w:r w:rsidR="006B4BA1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de Contas da União (TCU) não deve ser mantida para Município de </w:t>
      </w:r>
      <w:r w:rsidR="00071346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XXXXXXXXXX</w:t>
      </w:r>
      <w:r w:rsidR="006C11A2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(</w:t>
      </w:r>
      <w:r w:rsidR="00F36EEE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P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A</w:t>
      </w:r>
      <w:r w:rsidR="006C11A2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)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,</w:t>
      </w:r>
      <w:r w:rsidR="00DF7557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vez que não considerou a norma prevista na LC 165/2019, </w:t>
      </w:r>
      <w:r w:rsidR="00DF7557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devendo ser </w:t>
      </w:r>
      <w:r w:rsidR="006C11A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imediatamente </w:t>
      </w:r>
      <w:r w:rsidR="00DF7557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suspensa 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e que seja 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promov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ido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novo cálculo das quotas referentes ao FPM do Município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na forma do art. 1º, VI, da Lei n. 8.443/92, 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utilizando como parâmetro a população do Município em 2021</w:t>
      </w:r>
      <w:r w:rsidR="006B4BA1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, sob pena de violação princí</w:t>
      </w:r>
      <w:r w:rsid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pio da legalidade.</w:t>
      </w:r>
    </w:p>
    <w:p w14:paraId="37FD6FCF" w14:textId="77777777" w:rsidR="00336D1C" w:rsidRPr="00021550" w:rsidRDefault="00336D1C" w:rsidP="00DF7557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725AA24" w14:textId="1AFCE32C" w:rsidR="00336D1C" w:rsidRPr="00021550" w:rsidRDefault="00336D1C" w:rsidP="00DF7557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72A3DC62" w14:textId="3E959E89" w:rsidR="00336D1C" w:rsidRPr="00021550" w:rsidRDefault="00813324" w:rsidP="00336D1C">
      <w:pPr>
        <w:pStyle w:val="PargrafodaLista"/>
        <w:numPr>
          <w:ilvl w:val="0"/>
          <w:numId w:val="1"/>
        </w:numPr>
        <w:spacing w:after="0" w:line="240" w:lineRule="auto"/>
        <w:ind w:right="-567"/>
        <w:jc w:val="both"/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</w:pPr>
      <w:r>
        <w:rPr>
          <w:rFonts w:ascii="Arial Rounded MT Bold" w:hAnsi="Arial Rounded MT Bold" w:cs="Times New Roman"/>
          <w:b/>
          <w:bCs/>
          <w:color w:val="000000" w:themeColor="text1"/>
          <w:sz w:val="24"/>
          <w:szCs w:val="24"/>
        </w:rPr>
        <w:t>DA URGÊNCIA NA APRECIAÇÃO DA CONSTESTAÇÃO</w:t>
      </w:r>
    </w:p>
    <w:p w14:paraId="73E45F77" w14:textId="5562D079" w:rsidR="00336D1C" w:rsidRDefault="00336D1C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4AE49C94" w14:textId="77777777" w:rsidR="006C11A2" w:rsidRPr="00021550" w:rsidRDefault="006C11A2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83470F0" w14:textId="1FC7791B" w:rsidR="00F66EC2" w:rsidRPr="00021550" w:rsidRDefault="006C11A2" w:rsidP="0065112D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Conforme a exposição fática, não resta</w:t>
      </w:r>
      <w:r w:rsidR="007E5A8E">
        <w:rPr>
          <w:rFonts w:ascii="Palatino Linotype" w:hAnsi="Palatino Linotype" w:cs="Times New Roman"/>
          <w:color w:val="000000" w:themeColor="text1"/>
          <w:sz w:val="24"/>
          <w:szCs w:val="24"/>
        </w:rPr>
        <w:t>m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dúvidas de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que o Município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>CONTESTANTE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se encontra na </w:t>
      </w:r>
      <w:r w:rsidR="00336D1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eminência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de ter sua quota do FPM cerceada de forma arbitrária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diante da publicação da Decisão Normativa 201/2022 pelo TCU que utilizou-se de dados enviados pelo IBGE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 que de forma extemporânea, sem garantir o devido processo legal previsto no art. 102, §§ 1º e 2º da Lei 8.442/92, apresentou dados com nova metodologia do cálculo, apresentando 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prévia do censo de 2022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com 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dados imprecisos e não finalizados que </w:t>
      </w:r>
      <w:r w:rsidR="00685A9F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ocasion</w:t>
      </w:r>
      <w:r w:rsidR="00CA1D3C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aram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falha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no recenseamento dos habitantes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municipais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CA1D3C">
        <w:rPr>
          <w:rFonts w:ascii="Palatino Linotype" w:hAnsi="Palatino Linotype" w:cs="Times New Roman"/>
          <w:color w:val="000000" w:themeColor="text1"/>
          <w:sz w:val="24"/>
          <w:szCs w:val="24"/>
        </w:rPr>
        <w:t>acarretando a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redução do seu coeficiente para fins de cálculo do FPM.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14:paraId="1EB11C4C" w14:textId="77777777" w:rsidR="00F66EC2" w:rsidRPr="00021550" w:rsidRDefault="00F66EC2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F70D889" w14:textId="77777777" w:rsidR="00CA1D3C" w:rsidRDefault="00CA1D3C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7E060C0" w14:textId="77777777" w:rsidR="00CA1D3C" w:rsidRDefault="00CA1D3C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236903C" w14:textId="579D5862" w:rsidR="00336D1C" w:rsidRPr="00021550" w:rsidRDefault="00CA1D3C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O que caracteriza o fator urgência,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indispensável para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>apreciação urgente da contestação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são os </w:t>
      </w:r>
      <w:r w:rsidR="00F66EC2" w:rsidRPr="00021550">
        <w:rPr>
          <w:rFonts w:ascii="Palatino Linotype" w:hAnsi="Palatino Linotype" w:cs="Times New Roman"/>
          <w:b/>
          <w:bCs/>
          <w:smallCaps/>
          <w:color w:val="000000" w:themeColor="text1"/>
          <w:sz w:val="28"/>
          <w:szCs w:val="28"/>
        </w:rPr>
        <w:t>prejuízos financeiros</w:t>
      </w:r>
      <w:r w:rsidR="00F66EC2" w:rsidRPr="00021550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que serão suportados pelo Município e sua população,</w:t>
      </w:r>
      <w:r w:rsidR="00021550" w:rsidRPr="00021550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a partir de 01 de janeiro de 2023,</w:t>
      </w:r>
      <w:r w:rsidR="00F66EC2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vez que 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para o exercício de 2023 calcula-se que a diferença de </w:t>
      </w:r>
      <w:r w:rsidR="00021550">
        <w:rPr>
          <w:rFonts w:ascii="Palatino Linotype" w:hAnsi="Palatino Linotype" w:cs="Times New Roman"/>
          <w:color w:val="000000" w:themeColor="text1"/>
          <w:sz w:val="24"/>
          <w:szCs w:val="24"/>
        </w:rPr>
        <w:t>FPM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do coeficiente 1,</w:t>
      </w:r>
      <w:r w:rsidR="00071346">
        <w:rPr>
          <w:rFonts w:ascii="Palatino Linotype" w:hAnsi="Palatino Linotype" w:cs="Times New Roman"/>
          <w:color w:val="000000" w:themeColor="text1"/>
          <w:sz w:val="24"/>
          <w:szCs w:val="24"/>
        </w:rPr>
        <w:t>xxxxxx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para coeficiente 1,</w:t>
      </w:r>
      <w:r w:rsidR="00071346">
        <w:rPr>
          <w:rFonts w:ascii="Palatino Linotype" w:hAnsi="Palatino Linotype" w:cs="Times New Roman"/>
          <w:color w:val="000000" w:themeColor="text1"/>
          <w:sz w:val="24"/>
          <w:szCs w:val="24"/>
        </w:rPr>
        <w:t>xxxxxx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EB59E3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chegue a </w:t>
      </w:r>
      <w:r w:rsidR="00EB59E3" w:rsidRPr="00021550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R$ </w:t>
      </w:r>
      <w:r w:rsidR="00071346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>xxxxxxxx</w:t>
      </w:r>
      <w:r w:rsidR="00EB59E3" w:rsidRPr="00021550">
        <w:rPr>
          <w:rFonts w:ascii="Palatino Linotype" w:hAnsi="Palatino Linotype" w:cs="Times New Roman"/>
          <w:b/>
          <w:bCs/>
          <w:color w:val="000000" w:themeColor="text1"/>
          <w:sz w:val="28"/>
          <w:szCs w:val="28"/>
        </w:rPr>
        <w:t xml:space="preserve"> </w:t>
      </w:r>
      <w:r w:rsidR="00EB59E3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(</w:t>
      </w:r>
      <w:r w:rsidR="00071346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xxxxxxx</w:t>
      </w:r>
      <w:r w:rsidR="00EB59E3" w:rsidRPr="00021550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milhões)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conforme estimativa publicada pelo Tesouro Nacional</w:t>
      </w:r>
      <w:r w:rsidR="00EB59E3" w:rsidRPr="00021550">
        <w:rPr>
          <w:rStyle w:val="Refdenotaderodap"/>
          <w:rFonts w:ascii="Palatino Linotype" w:hAnsi="Palatino Linotype" w:cs="Times New Roman"/>
          <w:color w:val="000000" w:themeColor="text1"/>
          <w:sz w:val="24"/>
          <w:szCs w:val="24"/>
        </w:rPr>
        <w:footnoteReference w:id="10"/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2D5E4AC0" w14:textId="77777777" w:rsidR="00EB59E3" w:rsidRPr="00021550" w:rsidRDefault="00EB59E3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21CC948E" w14:textId="69D40FC4" w:rsidR="00336D1C" w:rsidRPr="00021550" w:rsidRDefault="00CA1D3C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Os erros são evidentes e comprovados 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com a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palavras do próprio diretor de pesquisa do IBGE de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que estão tendo demasiados problemas, bem como, estão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trabalhando de forma acelerada para o cumprimento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das metas de entrega de informações ao TCU.</w:t>
      </w:r>
    </w:p>
    <w:p w14:paraId="559C28C7" w14:textId="77777777" w:rsidR="00EB59E3" w:rsidRPr="00021550" w:rsidRDefault="00EB59E3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0E75C90C" w14:textId="3B61F846" w:rsidR="00336D1C" w:rsidRPr="00021550" w:rsidRDefault="00CA1D3C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Permitir a redução da receita de maior peso no Município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r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epresentaria também a redução dos serviços prestados pela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estrutura pública e os serviços que dela decorrem em prol de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uma população interiorana e rural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 indígena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em uma das regiões mais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dependentes destes recursos públicos, os interiores do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nordeste.</w:t>
      </w:r>
    </w:p>
    <w:p w14:paraId="02D03EF0" w14:textId="0A0B3C48" w:rsidR="00773A2D" w:rsidRPr="00021550" w:rsidRDefault="00773A2D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C144762" w14:textId="15B67CC3" w:rsidR="00773A2D" w:rsidRPr="00021550" w:rsidRDefault="00CA1D3C" w:rsidP="00B4046E">
      <w:pPr>
        <w:spacing w:after="0" w:line="276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 que não se diga </w:t>
      </w:r>
      <w:r w:rsidR="00021550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que </w:t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 urgência não se reveste, vez que Município pode</w:t>
      </w:r>
      <w:r w:rsidR="00021550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ria</w:t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receber de forma retrativa pelos meses que o cálculo fora feito com base em coeficiente errôneo, vez que o Superior Tribunal de Justiça (STJ) em recente decisão firmou posição de que </w:t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considerou inadmissível</w:t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por ofensa ao princípio da anualidade, a aplicação imediata, em meio ao exercício financeiro, </w:t>
      </w:r>
      <w:r w:rsidR="00773A2D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de novos coeficientes individuais de participação no fundo</w:t>
      </w:r>
      <w:r w:rsidR="00021550" w:rsidRPr="00021550"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  <w:t>, impedindo recebimento retroativo de recursos de FPM com base em erro no cálculo populacional, vejamos:</w:t>
      </w:r>
    </w:p>
    <w:p w14:paraId="55BA4AC1" w14:textId="0B32684B" w:rsidR="00773A2D" w:rsidRPr="00021550" w:rsidRDefault="00773A2D" w:rsidP="00336D1C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u w:val="single"/>
        </w:rPr>
      </w:pPr>
    </w:p>
    <w:p w14:paraId="6E871200" w14:textId="77777777" w:rsidR="00021550" w:rsidRPr="00021550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 xml:space="preserve">ADMINISTRATIVO. FUNDO DE PARTICIPAÇÃO DOS MUNICÍPIOS. DECISÃO NORMATIVA DO TCU. AUMENTO POPULACIONAL. ÍNDICE DO IBGE. ADOÇÃO DE CRITÉRIOS PARA O MESMO EXERCÍCIO. ILEGALIDADE. PRINCÍPIO DA ANUALIDADE. DISPOSITIVOS DO CTN. </w:t>
      </w:r>
    </w:p>
    <w:p w14:paraId="1B7C8FBC" w14:textId="566CF5EB" w:rsidR="00D35F64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 xml:space="preserve">I - Embargos de divergência interpostos pela União contra acordão da Primeira Turma que deu provimento ao recurso especial do Município de Três Barras do Paraná́, sob o entendimento de ser possível, verificado o aumento populacional da municipalidade, em confronto com os dados do IBGE, a adoção de novo critério do coeficiente no Fundo de Participação dos Municípios, com aplicação imediata, em meio ao exercício financeiro. </w:t>
      </w:r>
    </w:p>
    <w:p w14:paraId="4A054B92" w14:textId="45F3226D" w:rsidR="00021550" w:rsidRPr="00021550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lastRenderedPageBreak/>
        <w:t xml:space="preserve">II - Precedente da Segunda Turma invocado pela embargante (AgInt no AREsp n. 965.737/SP) 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no sentido de não ser possível, por ofensa ao princípio da anualidade, a aplicação imediata de novos coeficientes individuais de participação no FPM, como feito pela União, com a adoção de novos critérios para utilização na segunda metade do próprio ano de 2007. </w:t>
      </w:r>
    </w:p>
    <w:p w14:paraId="45BEE4A1" w14:textId="77777777" w:rsidR="00D35F64" w:rsidRDefault="00D35F64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</w:p>
    <w:p w14:paraId="4830F682" w14:textId="14A2D480" w:rsidR="00021550" w:rsidRPr="00021550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 xml:space="preserve">III - A ação originária deste feito, movida pela municipalidade, pretendia a adoção de novos parâmetros, dentro do mesmo exercício de 2007, enquanto a do acordão paradigma, a municipalidade voltava-se contra a fixação de novos parâmetros, pela União, no meio do ano, para utilização no mesmo exercício. </w:t>
      </w:r>
    </w:p>
    <w:p w14:paraId="3F133E22" w14:textId="77777777" w:rsidR="00D35F64" w:rsidRDefault="00D35F64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</w:p>
    <w:p w14:paraId="196DA43C" w14:textId="4755BBD2" w:rsidR="00021550" w:rsidRPr="00021550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 xml:space="preserve">IV - Em linhas gerais, quer por um objetivo ou por outro, e independentemente da natureza das ações e consequente forma de pagamento de eventual diferença encontrada, as duas ações discutem, ao final, os critérios referentes ao FPM para adoção no mesmo exercício, o que evidencia a divergência apontada. </w:t>
      </w:r>
    </w:p>
    <w:p w14:paraId="14A68129" w14:textId="77777777" w:rsidR="00D35F64" w:rsidRDefault="00D35F64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</w:p>
    <w:p w14:paraId="58BA845E" w14:textId="604365D5" w:rsidR="00021550" w:rsidRPr="00021550" w:rsidRDefault="00021550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>V - A se aceitar a tese de que os municípios podem buscar o ressarcimento posterior, pretendendo a adoção de novos critérios com base nas informações do mesmo exercício, como no caso do entendimento prestigiado pelo acordão ora embargado de divergência, há que se aceitar a tese de que a União, possa, num mesmo exercício, proceder com a revisão dos referidos critérios, voltando-se, posteriormente e em forma de ressarcimento, contra Municípios</w:t>
      </w:r>
      <w:r w:rsidR="007D50A4" w:rsidRPr="00021550">
        <w:rPr>
          <w:i/>
          <w:iCs/>
          <w:color w:val="000000" w:themeColor="text1"/>
          <w:sz w:val="22"/>
          <w:szCs w:val="22"/>
        </w:rPr>
        <w:t xml:space="preserve"> que, eventualmente, possam ter recebido valores a maior.</w:t>
      </w:r>
    </w:p>
    <w:p w14:paraId="6325A157" w14:textId="2D23179B" w:rsidR="00021550" w:rsidRPr="00021550" w:rsidRDefault="007D50A4" w:rsidP="00B4046E">
      <w:pPr>
        <w:pStyle w:val="NormalWeb"/>
        <w:spacing w:before="0" w:beforeAutospacing="0" w:after="0" w:afterAutospacing="0"/>
        <w:ind w:left="1416" w:right="-567"/>
        <w:jc w:val="both"/>
        <w:rPr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br/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VI -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Prevalência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do entendimento prestigiado pela Segunda Turma, seguindo precedentes desta Corte e do STF em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relação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à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matéria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, no sentido da ilegalidade da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Decisão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Normativa 38/01 do TCU, ao fundamento de que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não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é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possível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, por ofensa ao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princípio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da anualidade, a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aplicação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imediata, em meio ao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exercício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financeiro, de novos coeficientes individuais de </w:t>
      </w:r>
      <w:r w:rsidR="00021550" w:rsidRPr="00021550">
        <w:rPr>
          <w:b/>
          <w:bCs/>
          <w:i/>
          <w:iCs/>
          <w:color w:val="000000" w:themeColor="text1"/>
          <w:sz w:val="22"/>
          <w:szCs w:val="22"/>
        </w:rPr>
        <w:t>participação</w:t>
      </w:r>
      <w:r w:rsidRPr="00021550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21550">
        <w:rPr>
          <w:i/>
          <w:iCs/>
          <w:color w:val="000000" w:themeColor="text1"/>
          <w:sz w:val="22"/>
          <w:szCs w:val="22"/>
        </w:rPr>
        <w:t>no FPM.</w:t>
      </w:r>
    </w:p>
    <w:p w14:paraId="1B5005E6" w14:textId="0C511A39" w:rsidR="00EB59E3" w:rsidRPr="00021550" w:rsidRDefault="007D50A4" w:rsidP="00B4046E">
      <w:pPr>
        <w:pStyle w:val="NormalWeb"/>
        <w:spacing w:before="0" w:beforeAutospacing="0" w:after="0" w:afterAutospacing="0"/>
        <w:ind w:left="1416" w:right="-567"/>
        <w:jc w:val="both"/>
        <w:rPr>
          <w:b/>
          <w:bCs/>
          <w:i/>
          <w:iCs/>
          <w:color w:val="000000" w:themeColor="text1"/>
          <w:sz w:val="22"/>
          <w:szCs w:val="22"/>
        </w:rPr>
      </w:pPr>
      <w:r w:rsidRPr="00021550">
        <w:rPr>
          <w:i/>
          <w:iCs/>
          <w:color w:val="000000" w:themeColor="text1"/>
          <w:sz w:val="22"/>
          <w:szCs w:val="22"/>
        </w:rPr>
        <w:t xml:space="preserve">VII - Embargos de </w:t>
      </w:r>
      <w:r w:rsidR="00021550" w:rsidRPr="00021550">
        <w:rPr>
          <w:i/>
          <w:iCs/>
          <w:color w:val="000000" w:themeColor="text1"/>
          <w:sz w:val="22"/>
          <w:szCs w:val="22"/>
        </w:rPr>
        <w:t>divergência</w:t>
      </w:r>
      <w:r w:rsidRPr="00021550">
        <w:rPr>
          <w:i/>
          <w:iCs/>
          <w:color w:val="000000" w:themeColor="text1"/>
          <w:sz w:val="22"/>
          <w:szCs w:val="22"/>
        </w:rPr>
        <w:t xml:space="preserve"> da </w:t>
      </w:r>
      <w:r w:rsidR="00021550" w:rsidRPr="00021550">
        <w:rPr>
          <w:i/>
          <w:iCs/>
          <w:color w:val="000000" w:themeColor="text1"/>
          <w:sz w:val="22"/>
          <w:szCs w:val="22"/>
        </w:rPr>
        <w:t>União</w:t>
      </w:r>
      <w:r w:rsidRPr="00021550">
        <w:rPr>
          <w:i/>
          <w:iCs/>
          <w:color w:val="000000" w:themeColor="text1"/>
          <w:sz w:val="22"/>
          <w:szCs w:val="22"/>
        </w:rPr>
        <w:t xml:space="preserve"> providos, para negar provimento ao recurso especial interposto pelo </w:t>
      </w:r>
      <w:r w:rsidR="00021550" w:rsidRPr="00021550">
        <w:rPr>
          <w:i/>
          <w:iCs/>
          <w:color w:val="000000" w:themeColor="text1"/>
          <w:sz w:val="22"/>
          <w:szCs w:val="22"/>
        </w:rPr>
        <w:t>Município</w:t>
      </w:r>
      <w:r w:rsidRPr="00021550">
        <w:rPr>
          <w:i/>
          <w:iCs/>
          <w:color w:val="000000" w:themeColor="text1"/>
          <w:sz w:val="22"/>
          <w:szCs w:val="22"/>
        </w:rPr>
        <w:t xml:space="preserve"> de </w:t>
      </w:r>
      <w:r w:rsidR="00021550" w:rsidRPr="00021550">
        <w:rPr>
          <w:i/>
          <w:iCs/>
          <w:color w:val="000000" w:themeColor="text1"/>
          <w:sz w:val="22"/>
          <w:szCs w:val="22"/>
        </w:rPr>
        <w:t>Três</w:t>
      </w:r>
      <w:r w:rsidRPr="00021550">
        <w:rPr>
          <w:i/>
          <w:iCs/>
          <w:color w:val="000000" w:themeColor="text1"/>
          <w:sz w:val="22"/>
          <w:szCs w:val="22"/>
        </w:rPr>
        <w:t xml:space="preserve"> Barras do </w:t>
      </w:r>
      <w:r w:rsidR="00021550" w:rsidRPr="00021550">
        <w:rPr>
          <w:i/>
          <w:iCs/>
          <w:color w:val="000000" w:themeColor="text1"/>
          <w:sz w:val="22"/>
          <w:szCs w:val="22"/>
        </w:rPr>
        <w:t>Paraná</w:t>
      </w:r>
      <w:r w:rsidRPr="00021550">
        <w:rPr>
          <w:i/>
          <w:iCs/>
          <w:color w:val="000000" w:themeColor="text1"/>
          <w:sz w:val="22"/>
          <w:szCs w:val="22"/>
        </w:rPr>
        <w:t xml:space="preserve">́. </w:t>
      </w:r>
      <w:r w:rsidR="00021550" w:rsidRPr="00021550">
        <w:rPr>
          <w:i/>
          <w:iCs/>
          <w:color w:val="000000" w:themeColor="text1"/>
          <w:sz w:val="22"/>
          <w:szCs w:val="22"/>
        </w:rPr>
        <w:t>EMBARGOS DE DIVERGÊNCIA EM RESP No 1.749.966 - PR (2018/0153620-4) Rel: MINISTRO FRANCISCO FALCÃO. DOU 05.11.202</w:t>
      </w:r>
      <w:r w:rsidR="00021550">
        <w:rPr>
          <w:i/>
          <w:iCs/>
          <w:color w:val="000000" w:themeColor="text1"/>
          <w:sz w:val="22"/>
          <w:szCs w:val="22"/>
        </w:rPr>
        <w:t>1.</w:t>
      </w:r>
    </w:p>
    <w:p w14:paraId="44B82577" w14:textId="77777777" w:rsidR="00EB59E3" w:rsidRPr="00021550" w:rsidRDefault="00EB59E3" w:rsidP="00EB59E3">
      <w:pPr>
        <w:spacing w:after="0" w:line="24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DF411C5" w14:textId="39570B1C" w:rsidR="00336D1C" w:rsidRPr="00021550" w:rsidRDefault="00427AEA" w:rsidP="00EE1358">
      <w:pPr>
        <w:spacing w:after="0" w:line="36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Outro fator que merece destaque é que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o provimento desta contestação,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não traz prejuízo algum a</w:t>
      </w:r>
      <w:r w:rsidR="002D363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União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, posto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que, em hipótese remota de indeferimento da presente demanda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os Requeridos apenas observarão os valores indicados pelo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censo do IBGE na manutenção da quota do FPM municipal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podendo, inclusive, realizar diretamente descontos dos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valores repassados a maior.</w:t>
      </w:r>
    </w:p>
    <w:p w14:paraId="36FB047F" w14:textId="77777777" w:rsidR="00EB59E3" w:rsidRPr="00021550" w:rsidRDefault="00EB59E3" w:rsidP="00EE1358">
      <w:pPr>
        <w:spacing w:after="0" w:line="36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5114D1D" w14:textId="0D716F13" w:rsidR="00EE1358" w:rsidRPr="00021550" w:rsidRDefault="002D3630" w:rsidP="004E7158">
      <w:pPr>
        <w:spacing w:after="0" w:line="36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Desta feita, o município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requer a suspensão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>da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utilização dos dados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prévios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apurados pelo Censo 2022 como parâmetro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para cálculo do FPM do Município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e, em consequência, </w:t>
      </w:r>
      <w:r w:rsidR="00EE1358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 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>suspensão da decisão normativa nº. 201/2022 do TCU, devendo ser refeito cálculo utilizando os parâmetros populacionais de 2021.</w:t>
      </w:r>
    </w:p>
    <w:p w14:paraId="778CE9CD" w14:textId="19DFA7C8" w:rsidR="00336D1C" w:rsidRPr="00021550" w:rsidRDefault="00336D1C" w:rsidP="00EB59E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Rounded MT Bold" w:hAnsi="Arial Rounded MT Bold" w:cs="Times New Roman"/>
          <w:color w:val="000000" w:themeColor="text1"/>
          <w:sz w:val="24"/>
          <w:szCs w:val="24"/>
        </w:rPr>
      </w:pPr>
      <w:r w:rsidRPr="00021550">
        <w:rPr>
          <w:rFonts w:ascii="Arial Rounded MT Bold" w:hAnsi="Arial Rounded MT Bold" w:cs="Times New Roman"/>
          <w:color w:val="000000" w:themeColor="text1"/>
          <w:sz w:val="24"/>
          <w:szCs w:val="24"/>
        </w:rPr>
        <w:lastRenderedPageBreak/>
        <w:t>DOS PEDIDOS</w:t>
      </w:r>
    </w:p>
    <w:p w14:paraId="08DD63A6" w14:textId="7582D434" w:rsidR="00EB59E3" w:rsidRDefault="00EB59E3" w:rsidP="00EB59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713D384" w14:textId="0EA635EA" w:rsidR="00EE1358" w:rsidRDefault="00EE1358" w:rsidP="00EB59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96F0603" w14:textId="77777777" w:rsidR="00EE1358" w:rsidRPr="00021550" w:rsidRDefault="00EE1358" w:rsidP="00EB59E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3067AC25" w14:textId="10691397" w:rsidR="007D50A4" w:rsidRPr="00813324" w:rsidRDefault="00EE1358" w:rsidP="00813324">
      <w:pPr>
        <w:autoSpaceDE w:val="0"/>
        <w:autoSpaceDN w:val="0"/>
        <w:adjustRightInd w:val="0"/>
        <w:spacing w:after="0" w:line="360" w:lineRule="auto"/>
        <w:ind w:right="-567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Ante todo o exposto, requer a Vossa Excelência</w:t>
      </w:r>
      <w:r w:rsid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FB0544">
        <w:rPr>
          <w:rFonts w:ascii="Palatino Linotype" w:hAnsi="Palatino Linotype" w:cs="Times New Roman"/>
          <w:color w:val="000000" w:themeColor="text1"/>
          <w:sz w:val="24"/>
          <w:szCs w:val="24"/>
        </w:rPr>
        <w:t>p</w:t>
      </w:r>
      <w:r w:rsidR="00336D1C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>ara determinar a</w:t>
      </w:r>
      <w:r w:rsidR="00EB59E3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suspensão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</w:t>
      </w:r>
      <w:r w:rsidR="00FB054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a decisão normativa nº. 201, de 28 de dezembro de 2022,</w:t>
      </w:r>
      <w:r w:rsidR="00FB054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73A2D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>publicado p</w:t>
      </w:r>
      <w:r w:rsidR="00813324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>or este</w:t>
      </w:r>
      <w:r w:rsidR="00773A2D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Tribunal de Contas da União (TCU) para Município de </w:t>
      </w:r>
      <w:r w:rsidR="006C158A">
        <w:rPr>
          <w:rFonts w:ascii="Palatino Linotype" w:hAnsi="Palatino Linotype" w:cs="Times New Roman"/>
          <w:color w:val="000000" w:themeColor="text1"/>
          <w:sz w:val="24"/>
          <w:szCs w:val="24"/>
        </w:rPr>
        <w:t>XXXXXXXX</w:t>
      </w:r>
      <w:r w:rsidR="00FB0544">
        <w:rPr>
          <w:rFonts w:ascii="Palatino Linotype" w:hAnsi="Palatino Linotype" w:cs="Times New Roman"/>
          <w:color w:val="000000" w:themeColor="text1"/>
          <w:sz w:val="24"/>
          <w:szCs w:val="24"/>
        </w:rPr>
        <w:t>(</w:t>
      </w:r>
      <w:r w:rsidR="00773A2D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>MA</w:t>
      </w:r>
      <w:r w:rsidR="00FB0544" w:rsidRPr="00FB0544">
        <w:rPr>
          <w:rFonts w:ascii="Palatino Linotype" w:hAnsi="Palatino Linotype" w:cs="Times New Roman"/>
          <w:color w:val="000000" w:themeColor="text1"/>
          <w:sz w:val="24"/>
          <w:szCs w:val="24"/>
        </w:rPr>
        <w:t>),</w:t>
      </w:r>
      <w:r w:rsidR="00773A2D" w:rsidRPr="00FB054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773A2D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vez que não considerou a norma prevista na LC 165/2019, 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devendo</w:t>
      </w:r>
      <w:r w:rsidR="00813324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ser refeitos os cálculos da 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quotas referentes ao FPM do Município-</w:t>
      </w:r>
      <w:r w:rsidR="00F36EEE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xxxx</w:t>
      </w:r>
      <w:r w:rsidR="00773A2D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na forma do art. 1º, VI, da Lei n. 8.443/92, 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utilizando</w:t>
      </w:r>
      <w:r w:rsidR="005569E2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>-se</w:t>
      </w:r>
      <w:r w:rsidR="00773A2D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 como parâmetro a população do Município em 2021</w:t>
      </w:r>
      <w:r w:rsidR="007D50A4" w:rsidRPr="00813324"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  <w:t xml:space="preserve">, </w:t>
      </w:r>
      <w:r w:rsidR="007D50A4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>mantendo-se inalterado o Coeficiente de 1,</w:t>
      </w:r>
      <w:r w:rsidR="006C158A">
        <w:rPr>
          <w:rFonts w:ascii="Palatino Linotype" w:hAnsi="Palatino Linotype" w:cs="Times New Roman"/>
          <w:color w:val="000000" w:themeColor="text1"/>
          <w:sz w:val="24"/>
          <w:szCs w:val="24"/>
        </w:rPr>
        <w:t>xxxxxxxx</w:t>
      </w:r>
      <w:r w:rsidR="007D50A4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do FPM</w:t>
      </w:r>
      <w:r w:rsidR="00813324" w:rsidRPr="00813324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até finalização do censo 2022 com publicação de nova decisão normativa por esta corte.</w:t>
      </w:r>
    </w:p>
    <w:p w14:paraId="27A2D6C9" w14:textId="2C99A3BA" w:rsidR="00813324" w:rsidRPr="00813324" w:rsidRDefault="00813324" w:rsidP="00813324">
      <w:pPr>
        <w:pStyle w:val="PargrafodaLista"/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A3F29DE" w14:textId="2FE21A61" w:rsidR="00813324" w:rsidRPr="00021550" w:rsidRDefault="005569E2" w:rsidP="00EB59E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Pleiteia por todos os meios de prova em direito</w:t>
      </w:r>
      <w:r w:rsidR="00EB59E3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admitidos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, em especial, juntada ulterior de documentos, o que de já ficam requeridas</w:t>
      </w:r>
      <w:r w:rsidR="00336D1C"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4504274F" w14:textId="77777777" w:rsidR="00EB59E3" w:rsidRPr="00021550" w:rsidRDefault="00EB59E3" w:rsidP="00EB59E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1EA80E72" w14:textId="4C835485" w:rsidR="00A41F64" w:rsidRDefault="00A41F64" w:rsidP="00A41F64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  <w:t xml:space="preserve">São os termos em que pugna-se pelo deferimento com a urgência que o pleito requer.                                        </w:t>
      </w:r>
    </w:p>
    <w:p w14:paraId="303EF67E" w14:textId="77777777" w:rsidR="00A41F64" w:rsidRDefault="00A41F64" w:rsidP="00A41F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25BF0413" w14:textId="194D8575" w:rsidR="00A41F64" w:rsidRDefault="00A41F64" w:rsidP="00A41F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="004E7158">
        <w:rPr>
          <w:rFonts w:ascii="Palatino Linotype" w:hAnsi="Palatino Linotype" w:cs="Times New Roman"/>
          <w:color w:val="000000" w:themeColor="text1"/>
          <w:sz w:val="24"/>
          <w:szCs w:val="24"/>
        </w:rPr>
        <w:t>Belém/PA</w:t>
      </w:r>
      <w:r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</w:t>
      </w:r>
      <w:r w:rsidR="004E7158">
        <w:rPr>
          <w:rFonts w:ascii="Palatino Linotype" w:hAnsi="Palatino Linotype" w:cs="Times New Roman"/>
          <w:color w:val="000000" w:themeColor="text1"/>
          <w:sz w:val="24"/>
          <w:szCs w:val="24"/>
        </w:rPr>
        <w:t>....</w:t>
      </w:r>
      <w:r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</w:t>
      </w:r>
      <w:r w:rsidR="004E7158">
        <w:rPr>
          <w:rFonts w:ascii="Palatino Linotype" w:hAnsi="Palatino Linotype" w:cs="Times New Roman"/>
          <w:color w:val="000000" w:themeColor="text1"/>
          <w:sz w:val="24"/>
          <w:szCs w:val="24"/>
        </w:rPr>
        <w:t>janeiro</w:t>
      </w:r>
      <w:r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de 202</w:t>
      </w:r>
      <w:r w:rsidR="004E7158">
        <w:rPr>
          <w:rFonts w:ascii="Palatino Linotype" w:hAnsi="Palatino Linotype" w:cs="Times New Roman"/>
          <w:color w:val="000000" w:themeColor="text1"/>
          <w:sz w:val="24"/>
          <w:szCs w:val="24"/>
        </w:rPr>
        <w:t>3</w:t>
      </w:r>
      <w:r w:rsidRPr="00021550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</w:p>
    <w:p w14:paraId="2C0C119D" w14:textId="77777777" w:rsidR="00A41F64" w:rsidRDefault="00A41F64" w:rsidP="00A41F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60C7D2A" w14:textId="77777777" w:rsidR="00A41F64" w:rsidRDefault="00A41F64" w:rsidP="00A41F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7E47A952" w14:textId="77777777" w:rsidR="0065112D" w:rsidRPr="002650BE" w:rsidRDefault="0065112D" w:rsidP="0065112D">
      <w:pPr>
        <w:spacing w:after="0" w:line="240" w:lineRule="auto"/>
        <w:ind w:right="-567"/>
        <w:jc w:val="right"/>
        <w:rPr>
          <w:rFonts w:ascii="Palatino Linotype" w:hAnsi="Palatino Linotype" w:cs="Times New Roman"/>
          <w:i/>
          <w:iCs/>
          <w:color w:val="000000" w:themeColor="text1"/>
          <w:sz w:val="20"/>
          <w:szCs w:val="20"/>
        </w:rPr>
      </w:pPr>
      <w:r w:rsidRPr="00BB19E8">
        <w:rPr>
          <w:rFonts w:ascii="Palatino Linotype" w:hAnsi="Palatino Linotype" w:cs="Times New Roman"/>
          <w:i/>
          <w:iCs/>
          <w:color w:val="000000" w:themeColor="text1"/>
          <w:sz w:val="20"/>
          <w:szCs w:val="20"/>
        </w:rPr>
        <w:t>Assinado via certificado digital</w:t>
      </w:r>
    </w:p>
    <w:p w14:paraId="1E379811" w14:textId="77777777" w:rsidR="0065112D" w:rsidRDefault="0065112D" w:rsidP="0065112D">
      <w:pPr>
        <w:spacing w:after="0" w:line="240" w:lineRule="auto"/>
        <w:ind w:right="-567"/>
        <w:jc w:val="right"/>
        <w:rPr>
          <w:rFonts w:ascii="Palatino Linotype" w:hAnsi="Palatino Linotype" w:cs="Times New Roman"/>
          <w:b/>
          <w:bCs/>
          <w:color w:val="000000" w:themeColor="text1"/>
        </w:rPr>
      </w:pPr>
      <w:r>
        <w:rPr>
          <w:rFonts w:ascii="Palatino Linotype" w:hAnsi="Palatino Linotype" w:cs="Times New Roman"/>
          <w:b/>
          <w:bCs/>
          <w:color w:val="000000" w:themeColor="text1"/>
        </w:rPr>
        <w:t>Fulano de Tal</w:t>
      </w:r>
    </w:p>
    <w:p w14:paraId="55D17F98" w14:textId="592D0F32" w:rsidR="0065112D" w:rsidRDefault="0065112D" w:rsidP="0065112D">
      <w:pPr>
        <w:spacing w:after="0" w:line="240" w:lineRule="auto"/>
        <w:ind w:right="-567"/>
        <w:jc w:val="right"/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b/>
          <w:bCs/>
          <w:color w:val="000000" w:themeColor="text1"/>
        </w:rPr>
        <w:t>Procurador Geral do Município de  xxxxx(</w:t>
      </w:r>
      <w:r w:rsidR="00F36EEE">
        <w:rPr>
          <w:rFonts w:ascii="Palatino Linotype" w:hAnsi="Palatino Linotype" w:cs="Times New Roman"/>
          <w:b/>
          <w:bCs/>
          <w:color w:val="000000" w:themeColor="text1"/>
        </w:rPr>
        <w:t>P</w:t>
      </w:r>
      <w:r>
        <w:rPr>
          <w:rFonts w:ascii="Palatino Linotype" w:hAnsi="Palatino Linotype" w:cs="Times New Roman"/>
          <w:b/>
          <w:bCs/>
          <w:color w:val="000000" w:themeColor="text1"/>
        </w:rPr>
        <w:t>A)</w:t>
      </w:r>
    </w:p>
    <w:p w14:paraId="6118C5A1" w14:textId="705392C4" w:rsidR="0065112D" w:rsidRPr="00BB19E8" w:rsidRDefault="0065112D" w:rsidP="0065112D">
      <w:pPr>
        <w:spacing w:after="0" w:line="240" w:lineRule="auto"/>
        <w:ind w:right="-567"/>
        <w:jc w:val="right"/>
        <w:rPr>
          <w:rFonts w:ascii="Palatino Linotype" w:hAnsi="Palatino Linotype" w:cs="Times New Roman"/>
          <w:color w:val="000000" w:themeColor="text1"/>
        </w:rPr>
      </w:pPr>
      <w:r>
        <w:rPr>
          <w:rFonts w:ascii="Palatino Linotype" w:hAnsi="Palatino Linotype" w:cs="Times New Roman"/>
          <w:color w:val="000000" w:themeColor="text1"/>
        </w:rPr>
        <w:t>Adv. OAB/</w:t>
      </w:r>
      <w:r w:rsidR="00F36EEE">
        <w:rPr>
          <w:rFonts w:ascii="Palatino Linotype" w:hAnsi="Palatino Linotype" w:cs="Times New Roman"/>
          <w:color w:val="000000" w:themeColor="text1"/>
        </w:rPr>
        <w:t>P</w:t>
      </w:r>
      <w:r>
        <w:rPr>
          <w:rFonts w:ascii="Palatino Linotype" w:hAnsi="Palatino Linotype" w:cs="Times New Roman"/>
          <w:color w:val="000000" w:themeColor="text1"/>
        </w:rPr>
        <w:t>A  xxxxxx</w:t>
      </w:r>
    </w:p>
    <w:p w14:paraId="082A98E4" w14:textId="77777777" w:rsidR="00A41F64" w:rsidRPr="00D35F64" w:rsidRDefault="00A41F64" w:rsidP="00A41F6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</w:p>
    <w:p w14:paraId="65381421" w14:textId="77777777" w:rsidR="00A41F64" w:rsidRPr="00021550" w:rsidRDefault="00A41F64" w:rsidP="00A41F64">
      <w:pPr>
        <w:spacing w:after="0" w:line="240" w:lineRule="auto"/>
        <w:ind w:right="-567"/>
        <w:jc w:val="center"/>
        <w:rPr>
          <w:rFonts w:ascii="Palatino Linotype" w:hAnsi="Palatino Linotype" w:cs="Times New Roman"/>
          <w:b/>
          <w:bCs/>
          <w:color w:val="000000" w:themeColor="text1"/>
          <w:sz w:val="24"/>
          <w:szCs w:val="24"/>
        </w:rPr>
      </w:pPr>
    </w:p>
    <w:p w14:paraId="6DE3DBE2" w14:textId="101AC858" w:rsidR="00EB59E3" w:rsidRPr="00021550" w:rsidRDefault="00EB59E3" w:rsidP="00EB59E3">
      <w:pPr>
        <w:spacing w:after="0" w:line="240" w:lineRule="auto"/>
        <w:ind w:right="-567"/>
        <w:jc w:val="center"/>
        <w:rPr>
          <w:rFonts w:ascii="Palatino Linotype" w:hAnsi="Palatino Linotype" w:cs="Times New Roman"/>
          <w:color w:val="000000" w:themeColor="text1"/>
          <w:sz w:val="32"/>
          <w:szCs w:val="32"/>
        </w:rPr>
      </w:pPr>
    </w:p>
    <w:sectPr w:rsidR="00EB59E3" w:rsidRPr="00021550" w:rsidSect="00A56F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701" w:bottom="1417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8C6F0" w14:textId="77777777" w:rsidR="00A86434" w:rsidRDefault="00A86434" w:rsidP="00BC5327">
      <w:pPr>
        <w:spacing w:after="0" w:line="240" w:lineRule="auto"/>
      </w:pPr>
      <w:r>
        <w:separator/>
      </w:r>
    </w:p>
  </w:endnote>
  <w:endnote w:type="continuationSeparator" w:id="0">
    <w:p w14:paraId="66D6EA40" w14:textId="77777777" w:rsidR="00A86434" w:rsidRDefault="00A86434" w:rsidP="00BC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8330" w14:textId="560175B4" w:rsidR="001E5858" w:rsidRDefault="001E5858" w:rsidP="00DA378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A520" w14:textId="77777777" w:rsidR="00A86434" w:rsidRDefault="00A86434" w:rsidP="00BC5327">
      <w:pPr>
        <w:spacing w:after="0" w:line="240" w:lineRule="auto"/>
      </w:pPr>
      <w:r>
        <w:separator/>
      </w:r>
    </w:p>
  </w:footnote>
  <w:footnote w:type="continuationSeparator" w:id="0">
    <w:p w14:paraId="7168C081" w14:textId="77777777" w:rsidR="00A86434" w:rsidRDefault="00A86434" w:rsidP="00BC5327">
      <w:pPr>
        <w:spacing w:after="0" w:line="240" w:lineRule="auto"/>
      </w:pPr>
      <w:r>
        <w:continuationSeparator/>
      </w:r>
    </w:p>
  </w:footnote>
  <w:footnote w:id="1">
    <w:p w14:paraId="1283B1F0" w14:textId="66722191" w:rsidR="00EC1FCF" w:rsidRDefault="00EC1FCF">
      <w:pPr>
        <w:pStyle w:val="Textodenotaderodap"/>
      </w:pPr>
      <w:r>
        <w:rPr>
          <w:rStyle w:val="Refdenotaderodap"/>
        </w:rPr>
        <w:footnoteRef/>
      </w:r>
      <w:r>
        <w:t xml:space="preserve"> Procuração;</w:t>
      </w:r>
    </w:p>
  </w:footnote>
  <w:footnote w:id="2">
    <w:p w14:paraId="742795EB" w14:textId="73E2FF89" w:rsidR="00EC1FCF" w:rsidRDefault="00EC1FCF">
      <w:pPr>
        <w:pStyle w:val="Textodenotaderodap"/>
      </w:pPr>
      <w:r>
        <w:rPr>
          <w:rStyle w:val="Refdenotaderodap"/>
        </w:rPr>
        <w:footnoteRef/>
      </w:r>
      <w:r>
        <w:t xml:space="preserve"> Documentos constitutivos do Município;</w:t>
      </w:r>
    </w:p>
  </w:footnote>
  <w:footnote w:id="3">
    <w:p w14:paraId="72E9A415" w14:textId="77777777" w:rsidR="006B4BA1" w:rsidRDefault="006B4BA1" w:rsidP="006B4BA1">
      <w:pPr>
        <w:pStyle w:val="Textodenotaderodap"/>
      </w:pPr>
      <w:r>
        <w:rPr>
          <w:rStyle w:val="Refdenotaderodap"/>
        </w:rPr>
        <w:footnoteRef/>
      </w:r>
      <w:r>
        <w:t>Decisão Normativa n. 201/ 2022- TCU;</w:t>
      </w:r>
    </w:p>
  </w:footnote>
  <w:footnote w:id="4">
    <w:p w14:paraId="458D6D53" w14:textId="006AE351" w:rsidR="00EC1FCF" w:rsidRDefault="00EC1FCF">
      <w:pPr>
        <w:pStyle w:val="Textodenotaderodap"/>
      </w:pPr>
      <w:r>
        <w:rPr>
          <w:rStyle w:val="Refdenotaderodap"/>
        </w:rPr>
        <w:footnoteRef/>
      </w:r>
      <w:r>
        <w:t>Decisão Normativa n. 201/ 2022- TCU;</w:t>
      </w:r>
    </w:p>
  </w:footnote>
  <w:footnote w:id="5">
    <w:p w14:paraId="0DF07EE9" w14:textId="4615AA01" w:rsidR="00D35F64" w:rsidRDefault="00D35F64">
      <w:pPr>
        <w:pStyle w:val="Textodenotaderodap"/>
      </w:pPr>
      <w:r>
        <w:rPr>
          <w:rStyle w:val="Refdenotaderodap"/>
        </w:rPr>
        <w:footnoteRef/>
      </w:r>
      <w:r>
        <w:t xml:space="preserve"> Tabela populacional FAME</w:t>
      </w:r>
      <w:r w:rsidR="00F36EEE">
        <w:t>P</w:t>
      </w:r>
      <w:r>
        <w:t>;</w:t>
      </w:r>
    </w:p>
  </w:footnote>
  <w:footnote w:id="6">
    <w:p w14:paraId="179DAA2C" w14:textId="493E2A48" w:rsidR="00EC1FCF" w:rsidRDefault="00EC1FCF">
      <w:pPr>
        <w:pStyle w:val="Textodenotaderodap"/>
      </w:pPr>
      <w:r>
        <w:rPr>
          <w:rStyle w:val="Refdenotaderodap"/>
        </w:rPr>
        <w:footnoteRef/>
      </w:r>
      <w:r>
        <w:t xml:space="preserve"> Matérias que demonstram dificuldades do IBGE na realização do censo 2022;</w:t>
      </w:r>
    </w:p>
  </w:footnote>
  <w:footnote w:id="7">
    <w:p w14:paraId="7A8B8A25" w14:textId="79465F8A" w:rsidR="00C81D0B" w:rsidRDefault="00C81D0B">
      <w:pPr>
        <w:pStyle w:val="Textodenotaderodap"/>
      </w:pPr>
      <w:r>
        <w:rPr>
          <w:rStyle w:val="Refdenotaderodap"/>
        </w:rPr>
        <w:footnoteRef/>
      </w:r>
      <w:r>
        <w:t xml:space="preserve"> Nota IBGE da Nova metodologia aplicada para censo 2022;</w:t>
      </w:r>
    </w:p>
  </w:footnote>
  <w:footnote w:id="8">
    <w:p w14:paraId="538F3682" w14:textId="21B18463" w:rsidR="0016709A" w:rsidRDefault="0016709A">
      <w:pPr>
        <w:pStyle w:val="Textodenotaderodap"/>
      </w:pPr>
      <w:r>
        <w:rPr>
          <w:rStyle w:val="Refdenotaderodap"/>
        </w:rPr>
        <w:footnoteRef/>
      </w:r>
      <w:r>
        <w:t xml:space="preserve"> Nota oficial IBGE censo 2022;</w:t>
      </w:r>
    </w:p>
  </w:footnote>
  <w:footnote w:id="9">
    <w:p w14:paraId="37E9EAB9" w14:textId="4A97130C" w:rsidR="00BB28C1" w:rsidRDefault="00BB28C1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B28C1">
        <w:t>https://www.dgabc.com.br/Noticia/3911902/ibge-confirma-que-enviara-estimativa-populacional-de-2022-ao-tcu-nesta-4-feira</w:t>
      </w:r>
    </w:p>
  </w:footnote>
  <w:footnote w:id="10">
    <w:p w14:paraId="36291F20" w14:textId="394B2F73" w:rsidR="00EB59E3" w:rsidRDefault="00EB59E3">
      <w:pPr>
        <w:pStyle w:val="Textodenotaderodap"/>
      </w:pPr>
      <w:r>
        <w:rPr>
          <w:rStyle w:val="Refdenotaderodap"/>
        </w:rPr>
        <w:footnoteRef/>
      </w:r>
      <w:r>
        <w:t xml:space="preserve"> Estimativa de arrecadação FPM 2023 do Tesouro Nacional;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6C88" w14:textId="77777777" w:rsidR="00BC5327" w:rsidRDefault="00000000">
    <w:pPr>
      <w:pStyle w:val="Cabealho"/>
    </w:pPr>
    <w:r>
      <w:rPr>
        <w:noProof/>
        <w:lang w:eastAsia="pt-BR"/>
      </w:rPr>
      <w:pict w14:anchorId="067D6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235" o:spid="_x0000_s1027" type="#_x0000_t75" alt="" style="position:absolute;margin-left:0;margin-top:0;width:595.4pt;height:842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FF0D" w14:textId="25396A26" w:rsidR="00BC5327" w:rsidRDefault="00BC5327" w:rsidP="001E585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FD81" w14:textId="77777777" w:rsidR="00BC5327" w:rsidRDefault="00000000">
    <w:pPr>
      <w:pStyle w:val="Cabealho"/>
    </w:pPr>
    <w:r>
      <w:rPr>
        <w:noProof/>
        <w:lang w:eastAsia="pt-BR"/>
      </w:rPr>
      <w:pict w14:anchorId="0A49E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234" o:spid="_x0000_s1025" type="#_x0000_t75" alt="" style="position:absolute;margin-left:0;margin-top:0;width:595.4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B6CBD"/>
    <w:multiLevelType w:val="hybridMultilevel"/>
    <w:tmpl w:val="7D9C4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33D6"/>
    <w:multiLevelType w:val="hybridMultilevel"/>
    <w:tmpl w:val="5E508A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288258">
    <w:abstractNumId w:val="1"/>
  </w:num>
  <w:num w:numId="2" w16cid:durableId="84182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27"/>
    <w:rsid w:val="00021550"/>
    <w:rsid w:val="00041125"/>
    <w:rsid w:val="000652F7"/>
    <w:rsid w:val="00065DA3"/>
    <w:rsid w:val="00071346"/>
    <w:rsid w:val="000719B7"/>
    <w:rsid w:val="000A423D"/>
    <w:rsid w:val="000C1D38"/>
    <w:rsid w:val="00116016"/>
    <w:rsid w:val="00157AD2"/>
    <w:rsid w:val="0016709A"/>
    <w:rsid w:val="001727C6"/>
    <w:rsid w:val="001C7D00"/>
    <w:rsid w:val="001E5858"/>
    <w:rsid w:val="00246DD4"/>
    <w:rsid w:val="00273C44"/>
    <w:rsid w:val="002844DB"/>
    <w:rsid w:val="002A6E7A"/>
    <w:rsid w:val="002D3630"/>
    <w:rsid w:val="00334B2D"/>
    <w:rsid w:val="00336D1C"/>
    <w:rsid w:val="0036026F"/>
    <w:rsid w:val="00370200"/>
    <w:rsid w:val="00383B5F"/>
    <w:rsid w:val="0038443E"/>
    <w:rsid w:val="003948C0"/>
    <w:rsid w:val="00427AEA"/>
    <w:rsid w:val="0044576C"/>
    <w:rsid w:val="004771EC"/>
    <w:rsid w:val="004860DE"/>
    <w:rsid w:val="00487174"/>
    <w:rsid w:val="004B4D13"/>
    <w:rsid w:val="004D3772"/>
    <w:rsid w:val="004E7158"/>
    <w:rsid w:val="00520192"/>
    <w:rsid w:val="005569E2"/>
    <w:rsid w:val="00580B85"/>
    <w:rsid w:val="005A377B"/>
    <w:rsid w:val="0060668A"/>
    <w:rsid w:val="006146A1"/>
    <w:rsid w:val="00630751"/>
    <w:rsid w:val="0065112D"/>
    <w:rsid w:val="00685A9F"/>
    <w:rsid w:val="006B2A25"/>
    <w:rsid w:val="006B4BA1"/>
    <w:rsid w:val="006C11A2"/>
    <w:rsid w:val="006C158A"/>
    <w:rsid w:val="00722A13"/>
    <w:rsid w:val="00766EBD"/>
    <w:rsid w:val="00773A2D"/>
    <w:rsid w:val="007D50A4"/>
    <w:rsid w:val="007E5A8E"/>
    <w:rsid w:val="00813324"/>
    <w:rsid w:val="008C08B7"/>
    <w:rsid w:val="00902A93"/>
    <w:rsid w:val="00946DDC"/>
    <w:rsid w:val="00980EB3"/>
    <w:rsid w:val="00A41F64"/>
    <w:rsid w:val="00A5572A"/>
    <w:rsid w:val="00A56F81"/>
    <w:rsid w:val="00A86434"/>
    <w:rsid w:val="00A91A5A"/>
    <w:rsid w:val="00B0094C"/>
    <w:rsid w:val="00B03912"/>
    <w:rsid w:val="00B11ACF"/>
    <w:rsid w:val="00B4046E"/>
    <w:rsid w:val="00B65529"/>
    <w:rsid w:val="00B85729"/>
    <w:rsid w:val="00B90644"/>
    <w:rsid w:val="00BB28C1"/>
    <w:rsid w:val="00BC5327"/>
    <w:rsid w:val="00BF3767"/>
    <w:rsid w:val="00C81D0B"/>
    <w:rsid w:val="00CA1D3C"/>
    <w:rsid w:val="00D26902"/>
    <w:rsid w:val="00D35F64"/>
    <w:rsid w:val="00DA3782"/>
    <w:rsid w:val="00DA5CCE"/>
    <w:rsid w:val="00DA6091"/>
    <w:rsid w:val="00DF7557"/>
    <w:rsid w:val="00E751A4"/>
    <w:rsid w:val="00EB59E3"/>
    <w:rsid w:val="00EB5A16"/>
    <w:rsid w:val="00EB7497"/>
    <w:rsid w:val="00EC1FCF"/>
    <w:rsid w:val="00EE1358"/>
    <w:rsid w:val="00F36EEE"/>
    <w:rsid w:val="00F60031"/>
    <w:rsid w:val="00F66EC2"/>
    <w:rsid w:val="00F852FB"/>
    <w:rsid w:val="00F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8C4D6"/>
  <w15:chartTrackingRefBased/>
  <w15:docId w15:val="{8FCE7740-4A06-47E5-B604-5880540F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327"/>
  </w:style>
  <w:style w:type="paragraph" w:styleId="Rodap">
    <w:name w:val="footer"/>
    <w:basedOn w:val="Normal"/>
    <w:link w:val="RodapChar"/>
    <w:uiPriority w:val="99"/>
    <w:unhideWhenUsed/>
    <w:rsid w:val="00BC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327"/>
  </w:style>
  <w:style w:type="paragraph" w:styleId="NormalWeb">
    <w:name w:val="Normal (Web)"/>
    <w:basedOn w:val="Normal"/>
    <w:uiPriority w:val="99"/>
    <w:unhideWhenUsed/>
    <w:rsid w:val="00BF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odytext1">
    <w:name w:val="Body text|1_"/>
    <w:basedOn w:val="Fontepargpadro"/>
    <w:link w:val="Bodytext10"/>
    <w:rsid w:val="0038443E"/>
    <w:rPr>
      <w:rFonts w:ascii="Liberation Sans" w:eastAsia="Liberation Sans" w:hAnsi="Liberation Sans" w:cs="Liberation Sans"/>
      <w:sz w:val="20"/>
      <w:szCs w:val="20"/>
    </w:rPr>
  </w:style>
  <w:style w:type="paragraph" w:customStyle="1" w:styleId="Bodytext10">
    <w:name w:val="Body text|1"/>
    <w:basedOn w:val="Normal"/>
    <w:link w:val="Bodytext1"/>
    <w:rsid w:val="0038443E"/>
    <w:pPr>
      <w:widowControl w:val="0"/>
      <w:spacing w:after="0" w:line="379" w:lineRule="auto"/>
      <w:ind w:firstLine="20"/>
    </w:pPr>
    <w:rPr>
      <w:rFonts w:ascii="Liberation Sans" w:eastAsia="Liberation Sans" w:hAnsi="Liberation Sans" w:cs="Liberation Sans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8443E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1F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1F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1FCF"/>
    <w:rPr>
      <w:vertAlign w:val="superscript"/>
    </w:rPr>
  </w:style>
  <w:style w:type="paragraph" w:styleId="Citao">
    <w:name w:val="Quote"/>
    <w:basedOn w:val="Corpodetexto"/>
    <w:link w:val="CitaoChar"/>
    <w:uiPriority w:val="29"/>
    <w:qFormat/>
    <w:rsid w:val="00BB28C1"/>
    <w:pPr>
      <w:spacing w:line="240" w:lineRule="auto"/>
      <w:ind w:left="1418"/>
      <w:jc w:val="both"/>
    </w:pPr>
    <w:rPr>
      <w:rFonts w:ascii="Times New (W1)" w:eastAsia="Times New Roman" w:hAnsi="Times New (W1)" w:cs="Times New Roman"/>
      <w:i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B28C1"/>
    <w:rPr>
      <w:rFonts w:ascii="Times New (W1)" w:eastAsia="Times New Roman" w:hAnsi="Times New (W1)" w:cs="Times New Roman"/>
      <w:i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B28C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B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66D13-00B6-8E43-870E-13B183FC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2898</Words>
  <Characters>15653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Carlissandra</dc:creator>
  <cp:keywords/>
  <dc:description/>
  <cp:lastModifiedBy>SRV FAMEP</cp:lastModifiedBy>
  <cp:revision>4</cp:revision>
  <dcterms:created xsi:type="dcterms:W3CDTF">2022-12-30T21:37:00Z</dcterms:created>
  <dcterms:modified xsi:type="dcterms:W3CDTF">2023-01-03T17:56:00Z</dcterms:modified>
</cp:coreProperties>
</file>